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86R7101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prosecution of offenses involving certain municipal parking ordinances; authorizing a civil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601.001, Local Government Code, is amended to read as follows:</w:t>
      </w:r>
    </w:p>
    <w:p w:rsidR="003F3435" w:rsidRDefault="0032493E">
      <w:pPr>
        <w:spacing w:line="480" w:lineRule="auto"/>
        <w:ind w:firstLine="720"/>
        <w:jc w:val="both"/>
      </w:pPr>
      <w:r>
        <w:t xml:space="preserve">Sec.</w:t>
      </w:r>
      <w:r xml:space="preserve">
        <w:t> </w:t>
      </w:r>
      <w:r>
        <w:t xml:space="preserve">601.001.</w:t>
      </w:r>
      <w:r xml:space="preserve">
        <w:t> </w:t>
      </w:r>
      <w:r xml:space="preserve">
        <w:t> </w:t>
      </w:r>
      <w:r>
        <w:t xml:space="preserve">PARKING ON PRIVATE PROPERTY. </w:t>
      </w:r>
      <w:r>
        <w:rPr>
          <w:u w:val="single"/>
        </w:rPr>
        <w:t xml:space="preserve">(a)</w:t>
      </w:r>
      <w:r>
        <w:t xml:space="preserve"> A municipality by ordinance may regulate the parking of motor vehicles on private property and may enforce the ordinance in the same manner that it enforces ordinances regulating parking in public no-parking zones, including the impoundment of offending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Chapter 682, Transportation Code, a municipality with a population of 1.9 million or more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the violation of a municipal ordinance relating to the parking of an unattended motor vehicle in the front or side yard of a single-family residence in a residential area to be a civil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ordinance establish an administrative adjudication hearing procedure under which a civil fine may be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