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86R3183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w:t>
      </w:r>
      <w:r xml:space="preserve">
        <w:tab wTab="150" tlc="none" cTlc="0"/>
      </w:r>
      <w:r>
        <w:t xml:space="preserve">H.B.</w:t>
      </w:r>
      <w:r xml:space="preserve">
        <w:t> </w:t>
      </w:r>
      <w:r>
        <w:t xml:space="preserve">No.</w:t>
      </w:r>
      <w:r xml:space="preserve">
        <w:t> </w:t>
      </w:r>
      <w:r>
        <w:t xml:space="preserve">1367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disposition of real property intended for high-speed rail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112, Transportation Code, is amended by adding Section 112.063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112.063.</w:t>
      </w:r>
      <w:r>
        <w:rPr>
          <w:u w:val="single"/>
        </w:rPr>
        <w:t xml:space="preserve"> </w:t>
      </w:r>
      <w:r>
        <w:rPr>
          <w:u w:val="single"/>
        </w:rPr>
        <w:t xml:space="preserve"> </w:t>
      </w:r>
      <w:r>
        <w:rPr>
          <w:u w:val="single"/>
        </w:rPr>
        <w:t xml:space="preserve">DISPOSITION OF REAL PROPERTY ACQUIRED FOR HIGH-SPEED RAIL PROJECT.  (a)</w:t>
      </w:r>
      <w:r>
        <w:rPr>
          <w:u w:val="single"/>
        </w:rPr>
        <w:t xml:space="preserve"> </w:t>
      </w:r>
      <w:r>
        <w:rPr>
          <w:u w:val="single"/>
        </w:rPr>
        <w:t xml:space="preserve"> </w:t>
      </w:r>
      <w:r>
        <w:rPr>
          <w:u w:val="single"/>
        </w:rPr>
        <w:t xml:space="preserve">In this section, "high-speed rail" means intercity passenger service that is reasonably expected to reach speeds of at least 110 miles per hour.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(d), a private entity that operates or plans to operate a high-speed rail project, represents itself as having the power of eminent domain, and acquires real property for a high-speed rail project may not use the property for any purpose other than a high-speed rail project.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a person from whom real property is acquired by a private entity as described by Subsection (b), and the person's heirs, successors, and assigns, are entitled to notice and opportunity to repurchase the property before all other purchasers for the price paid to the owner by the entity at the time the entity acquired the property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high-speed rail project for which the property was acquired is canceled before the property is used for that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 is not used for the high-speed rail project for which the property was acquired before the 10th anniversary of the date of acquisition;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property becomes unnecessary for the high-speed rail project for which the property was acquired before the 10th anniversary of the date of acquisition.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Subsections (b) and (c) do not apply to real property acquired by a private entity as described by Subsection (b) that is not acquired through a condemnation proceeding under Chapter 21, Property Code, if, before the acquisition of the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acquiring the property gives written notice to the person from whom the property is to be acquired that the property may be used for a purpose other than a high-speed rail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from whom the property is to be acquired signs a statement acknowledging that written notice was given under Subdivision (1).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rights of a person from whom real property is acquired under Chapter 21, Property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statutory right of an entity with the power of eminent domain.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Notice and repurchase as required by Subsection (c) shall follow the timelines and processes for notice and repurchase in Chapter 21, Property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applies to a private entity that represents itself: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a railroad, whether or not the entity is a railroad;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another entity that may exercise the power of eminent domain.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112.063, Transportation Code, as added by this Act, applies only to real property acquired on or after September 1,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