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86R5763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option contracts to acquire real property for high-speed rail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PROPERTY OPTION CONTRACTS FOR HIGH-SPEED RAIL VOID ON BANKRUPTCY.  (a)  In this section, "high-speed rail" has the meaning assigned by Section 112.201.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filing of a bankruptcy petition by or against a railroad company, an option contract held by the company to acquire real property for a high-speed rail project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112.063, Transportation Code, as added by this Act, applies only to an option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