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1373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expressive activities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51.9315.</w:t>
      </w:r>
      <w:r>
        <w:rPr>
          <w:u w:val="single"/>
        </w:rPr>
        <w:t xml:space="preserve"> </w:t>
      </w:r>
      <w:r>
        <w:rPr>
          <w:u w:val="single"/>
        </w:rPr>
        <w:t xml:space="preserve"> </w:t>
      </w:r>
      <w:r>
        <w:rPr>
          <w:u w:val="single"/>
        </w:rPr>
        <w:t xml:space="preserve">PROTECTED EXPRESSION ON CAMPUS.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"Expressive activities" include assemblies, protests, speeches, the distribution of written material, the carrying of signs, and the circulation of petitions.  The term does not include commercial speech.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and "university system" 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policy of this state to protect the expressive rights of persons guaranteed by the constitutions of the United States and of this state by ensuring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persons may assemble peaceably on the campuses of institutions of higher education for expressive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expressive rights of persons on the campuses of institutions of higher education are not unnecessarily restricted or impeded by rules or policies adopted by the institutions.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common outdoor areas of the institution's campus are deemed traditional public forums;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any person to engage in expressive activities in those areas of the institution's campus freely, as long as the person's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unlawful;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materially and substantially disrupt the functioning of the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institution of higher education by rule may maintain and enforce reasonable restrictions on the time, place, and manner of expressive activities in the common outdoor areas of the institution's campus if those restrictions: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narrowly tailored to serve a significant institutional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clear, published, content-neutral, and viewpoint-neutral criteria;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ample alternative means of expression;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members of the university community to spontaneously and contemporaneously assemble or distribute written material without a permit or other permission from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(c) and (d) do not limit the right of student expression at other campus locations.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encourages the free and open exchange of ideas, including unpopular, controversial, or offensive ideas, in classrooms and all other campus locations;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punishing a student in any manner for engaging in expressive activities protected by the First Amendment to the United States Constitution or Section 8, Article 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the institution to maintain an official position of neutrality on issues of public controversy;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prohibits any institution official or employee from disinviting a speaker who has been requested to speak at the institution by members of the university community;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establishes disciplinary sanctions for students or employees who unduly interfere with the expressive activities of others on campus.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institution of higher education annually shall provide to students enrolled at and employees of the institution a copy of all policies adopted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the first anniversary of the date that a violation of this section is alleged to have occurred at an institution of higher education, the attorney general or a person whose expressive rights have been violated under this section may bring an action for injunctive relief to compel the institution to comply with this section or to recover compensatory damages and reasonable court costs and attorney's fees.  In an action for damages brought under this subsection, if the court finds that an institution of higher education has violated this section, the court shall award the aggrieved person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person's compensatory damages;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computing the limitation period under Subsection (h), each day of a continuing violation of this section, including each day that a rule or policy of an institution of higher education that violates this section remains in effect, constitutes a separate violation.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governing board of each institution of higher education or university system shall create a subcommittee of the board to address free speech issues at the institution or institutions governed by the board.  Not later than September 1 of each year, the subcommittee shall prepare and submit to the governor, the members of the legislature, and the governing board a report on free speech issues that arose at the institution or institutions during the preceding academic year.  The report must include, for each institution governed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any barriers to or disruptions of expressive activities at the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institution's handling of free speech issues, including any disciplinary action taken related to the policies adopted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any substantial difficulties, controversies, or successes in maintaining the institution's official position of neutrality on issues of public controversy;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recommendations for legislative or other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2019, the governing board of each public institution of higher education or university system shall create the subcommittee required under Section 51.9315(j), Education Code, as added by this Act.  Each governing board's subcommittee shall prepare and submit its initial report required under that section not later than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