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86R17897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Wray</w:t>
      </w:r>
      <w:r xml:space="preserve">
        <w:tab wTab="150" tlc="none" cTlc="0"/>
      </w:r>
      <w:r>
        <w:t xml:space="preserve">H.B.</w:t>
      </w:r>
      <w:r xml:space="preserve">
        <w:t> </w:t>
      </w:r>
      <w:r>
        <w:t xml:space="preserve">No.</w:t>
      </w:r>
      <w:r xml:space="preserve">
        <w:t> </w:t>
      </w:r>
      <w:r>
        <w:t xml:space="preserve">1381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1381:</w:t>
      </w:r>
    </w:p>
    <w:p w:rsidR="003F3435" w:rsidRDefault="0032493E">
      <w:pPr>
        <w:spacing w:line="480" w:lineRule="auto"/>
        <w:jc w:val="both"/>
        <w:tabs>
          <w:tab w:val="right" w:leader="none" w:pos="9350"/>
        </w:tabs>
      </w:pPr>
      <w:r>
        <w:t xml:space="preserve">By:</w:t>
      </w:r>
      <w:r xml:space="preserve">
        <w:t> </w:t>
      </w:r>
      <w:r xml:space="preserve">
        <w:t> </w:t>
      </w:r>
      <w:r>
        <w:t xml:space="preserve">King of Parker</w:t>
      </w:r>
      <w:r xml:space="preserve">
        <w:tab wTab="150" tlc="none" cTlc="0"/>
      </w:r>
      <w:r>
        <w:t xml:space="preserve">C.S.H.B.</w:t>
      </w:r>
      <w:r xml:space="preserve">
        <w:t> </w:t>
      </w:r>
      <w:r>
        <w:t xml:space="preserve">No.</w:t>
      </w:r>
      <w:r xml:space="preserve">
        <w:t> </w:t>
      </w:r>
      <w:r>
        <w:t xml:space="preserve">1381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enhancing the criminal penalty for aggravated assault committed in or on school property or on a passenger transportation vehicle of a primary or secondary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 serious bodily injury to a person whose relationship to or association with the defendant is described by Section 71.0021(b), 71.003, or 71.005, Family Code;</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against a person the actor knows is a security officer while the officer is performing a duty as a security officer;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 or on any property, including a parking lot, parking garage, or other parking area, that is owned or leased by a public or private primary or secondary school;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 a passenger transportation vehicle that is owned or operated by a public or private primary or secondary school or owned or operated by another entity under contract with a public or private primary or secondary school and is being used to transport persons to or from the school or school-sponsored activities;</w:t>
      </w:r>
      <w:r>
        <w:t xml:space="preserve"> or</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