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86R1919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1382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disclosure regarding flood coverage under a residential property insurance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2002, Insurance Code, is amended by adding Section 2002.103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2002.103.</w:t>
      </w:r>
      <w:r>
        <w:rPr>
          <w:u w:val="single"/>
        </w:rPr>
        <w:t xml:space="preserve"> </w:t>
      </w:r>
      <w:r>
        <w:rPr>
          <w:u w:val="single"/>
        </w:rPr>
        <w:t xml:space="preserve"> </w:t>
      </w:r>
      <w:r>
        <w:rPr>
          <w:u w:val="single"/>
        </w:rPr>
        <w:t xml:space="preserve">DISCLOSURE REGARDING FLOOD COVERAGE REQUIRED.  (a)  In this section, "residential property insurance" means insurance coverage against damage to or loss of residential real or tangible personal property at a fixed location that is provided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homeowners insurance policy, including a tenants insurance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condominium owners insurance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residential fire and allied lines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farm and ranch insurance policy;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farm and ranch owners insurance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each insurer authorized to engage in the business of residential property insurance in this state, including a county mutual insurance company, farm mutual insurance company, Lloyd's plan, and reciprocal or interinsurance exchange.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that issues or renews a residential property insurance policy that does not provide coverage against loss caused by flooding shall include with the policy documents the following statement in at least 18-point bold type:  "FLOOD INSURANCE: YOU MAY NEED TO CONSIDER THE PURCHASE OF FLOOD INSURANCE.  YOUR RESIDENTIAL PROPERTY INSURANCE POLICY DOES NOT INCLUDE COVERAGE FOR DAMAGE RESULTING FROM FLOOD EVEN IF HURRICANE WINDS AND RAIN CAUSED THE FLOOD TO OCCUR.  WITHOUT SEPARATE FLOOD INSURANCE COVERAGE, YOU MAY HAVE UNCOVERED LOSSES CAUSED BY FLOOD.  PLEASE DISCUSS THE NEED TO PURCHASE SEPARATE FLOOD INSURANCE COVERAGE WITH YOUR INSURANCE AGENT."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2002.103, Insurance Code, as added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