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industrialized housing and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1202.002(c),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Industrialized housing does not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residential structure that exceeds four stories or 60 feet in height;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housing constructed of a sectional or panelized system that does not use a modular component;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ready-built home constructed in a manner in which the entire living area is contained in a single unit or section at a temporary location for the purpose of selling and moving the home to another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1202.003(d),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industrialized building includes a permanent commercial structure and a commercial structure designed to be transported from one commercial site to another commercial site but does not include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commercial structure that exceeds four stories or 60 feet in height;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commercial building or structure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installed in a manner other than on a permanent foundation;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not open to the public;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(ii)</w:t>
      </w:r>
      <w:r>
        <w:t xml:space="preserve">]</w:t>
      </w:r>
      <w:r xml:space="preserve">
        <w:t> </w:t>
      </w:r>
      <w:r xml:space="preserve">
        <w:t> </w:t>
      </w:r>
      <w:r>
        <w:t xml:space="preserve">less than 1,500 square feet in total area and used other than as a school or a place of religious worship.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