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86R6839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industrialized housing and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Industrialized housing does not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residential structure that exceeds four stories or 60 feet in height;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housing constructed of a sectional or panelized system that does not use a modular component;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ready-built home constructed in a manner in which the entire living area is contained in a single unit or section at a temporary location for the purpose of selling and moving the home to another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1202.003(d),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industrialized building includes a permanent commercial structure and a commercial structure designed to be transported from one commercial site to another commercial site but does not include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commercial structure that exceeds four stories or 60 feet in height;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commercial building or structure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installed in a manner other than on a permanent foundation;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not open to the public;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less than 1,500 square feet in total area and used other than as a school or a place of religious worship.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