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Swanson, Bonnen of Galveston,</w:t>
      </w:r>
      <w:r xml:space="preserve">
        <w:tab wTab="150" tlc="none" cTlc="0"/>
      </w:r>
      <w:r>
        <w:t xml:space="preserve">H.B.</w:t>
      </w:r>
      <w:r xml:space="preserve">
        <w:t> </w:t>
      </w:r>
      <w:r>
        <w:t xml:space="preserve">No.</w:t>
      </w:r>
      <w:r xml:space="preserve">
        <w:t> </w:t>
      </w:r>
      <w:r>
        <w:t xml:space="preserve">1387</w:t>
      </w:r>
    </w:p>
    <w:p w:rsidR="003F3435" w:rsidRDefault="0032493E">
      <w:pPr>
        <w:jc w:val="both"/>
      </w:pPr>
      <w:r xml:space="preserve">
        <w:t> </w:t>
      </w:r>
      <w:r xml:space="preserve">
        <w:t> </w:t>
      </w:r>
      <w:r xml:space="preserve">
        <w:t> </w:t>
      </w:r>
      <w:r xml:space="preserve">
        <w:t> </w:t>
      </w:r>
      <w:r xml:space="preserve">
        <w:t> </w:t>
      </w:r>
      <w:r>
        <w:t xml:space="preserve">Pacheco, Dutton,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of school marshals that may be appointed to serve on a public school campus or at a private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 school district or the governing body of an open-enrollment charter school may appoint </w:t>
      </w:r>
      <w:r>
        <w:rPr>
          <w:u w:val="single"/>
        </w:rPr>
        <w:t xml:space="preserve">one or more school marshals for each campus</w:t>
      </w:r>
      <w:r>
        <w:t xml:space="preserve"> [</w:t>
      </w:r>
      <w:r>
        <w:rPr>
          <w:strike/>
        </w:rPr>
        <w:t xml:space="preserve">not more than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school marshal per 200 students in average daily attendance per campus;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each campus, one school marshal per building of the campus at which students regularly receive classroom instruction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private school may appoint </w:t>
      </w:r>
      <w:r>
        <w:rPr>
          <w:u w:val="single"/>
        </w:rPr>
        <w:t xml:space="preserve">one or more school marshals</w:t>
      </w:r>
      <w:r>
        <w:t xml:space="preserve"> [</w:t>
      </w:r>
      <w:r>
        <w:rPr>
          <w:strike/>
        </w:rPr>
        <w:t xml:space="preserve">not more than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school marshal per 200 students enrolled in the school;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school marshal per building of the school at which students regularly receive classroom instruction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