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86R4614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mandatory removal of a public school student from the classroom following certain conduct.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37.006(a),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student shall be removed from class and placed in a disciplinary alternative education program as provided by Section 37.008 if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engages in conduct involving a public school that contains the elements of the offense of false alarm or report under Section 42.06, Penal Code, or terroristic threat under Section 22.07, Penal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commits the following on or within 300 feet of school property, as measured from any point on the school's real property boundary line, or while attending a school-sponsored or school-related activity on or off of school property: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engages in conduct punishable as a felony;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engages in conduct that contains the elements of the offense of assault under Section 22.01(a)(1), Penal Code</w:t>
      </w:r>
      <w:r>
        <w:rPr>
          <w:u w:val="single"/>
        </w:rPr>
        <w:t xml:space="preserve">, or engages in conduct that contains the elements of the offense of assault under Section 22.01(a)(1), (2), or (3), Penal Code, against an employee of the school district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sells, gives, or delivers to another person or possesses or uses or is under the influence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marihuana or a controlled substance, as defined by Chapter 481, Health and Safety Code, or by 21 U.S.C. Section 801 et seq.;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dangerous drug, as defined by Chapter 483, Health and Safety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sells, gives, or delivers to another person an alcoholic beverage, as defined by Section 1.04, Alcoholic Beverage Code, commits a serious act or offense while under the influence of alcohol, or possesses, uses, or is under the influence of an alcoholic beverage;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engages in conduct that contains the elements of an offense relating to an abusable volatile chemical under Sections 485.031 through 485.034, Health and Safety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engages in conduct that contains the elements of the offense of public lewdness under Section 21.07, Penal Code, or indecent exposure under Section 21.08,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