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86R756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1393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monthly reports on preservation, maintenance, and restoration expenses for the Alamo complex.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31, Natural Resources Code, is amended by adding Section 31.4535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31.4535.</w:t>
      </w:r>
      <w:r>
        <w:rPr>
          <w:u w:val="single"/>
        </w:rPr>
        <w:t xml:space="preserve"> </w:t>
      </w:r>
      <w:r>
        <w:rPr>
          <w:u w:val="single"/>
        </w:rPr>
        <w:t xml:space="preserve"> </w:t>
      </w:r>
      <w:r>
        <w:rPr>
          <w:u w:val="single"/>
        </w:rPr>
        <w:t xml:space="preserve">MONTHLY EXPENSE REPORTS.  (a)  Any public or private entity that enters into an agreement with this state to provide a service or other benefit to preserve, maintain, or restore the Alamo or Alamo complex shall submit to the land office a monthly report detailing any service or benefit provided during the preceding month for those purposes, including the cost charged to this state for the service or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land office and any other state agency that in any month uses money appropriated or donated to the agency by a public or private entity to pay an expense incurred by the agency during the preceding month for the preservation, maintenance, or restoration of the Alamo or Alamo complex shall prepare a monthly report detailing the expense.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report under this section must be submitted in the format required by the land office not later than the third business day of the month following the month in which a cost charged under Subsection (a) or an expense incurred under Subsection (b)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land office shall post each monthly report submitted under this section on the land office's Internet website not later than the second business day after the date the report is submitted.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cost charged or expense incurred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