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86R4609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immunity from certain disciplinary proceedings for a teacher's justified use of physical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22.0512(b),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this section, "disciplinary proceeding"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action brought by the school district employing a professional employee of a school district to discharge or suspend the employee or terminate or not renew the employee's term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action brought by the State Board for Educator Certification [</w:t>
      </w:r>
      <w:r>
        <w:rPr>
          <w:strike/>
        </w:rPr>
        <w:t xml:space="preserve">to enforce the educator's code of ethics adopted under Section 21.041(b)(8)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