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1396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1396:</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persons to serve on the board of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209.00591, Property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may not serve on the board of a property owners' association if the person cohabits at the same primary residence with another board member of the association. </w:t>
      </w:r>
      <w:r>
        <w:rPr>
          <w:u w:val="single"/>
        </w:rPr>
        <w:t xml:space="preserve"> </w:t>
      </w:r>
      <w:r>
        <w:rPr>
          <w:u w:val="single"/>
        </w:rPr>
        <w:t xml:space="preserve">This subsection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 association with fewer than 10 residences;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subdivision's development period to affect the eligibility to serve on the board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cohabits with a developer of the subdivision regulated by the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entitlement of a member serving on the board of a property owners'</w:t>
      </w:r>
      <w:r>
        <w:t xml:space="preserve"> </w:t>
      </w:r>
      <w:r>
        <w:t xml:space="preserve">association immediately before the effective date of this Act to continue to carry out the board's functions for the remainder of the member's term.  The change in law applies only to a member elected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