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86R7841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w:t>
      </w:r>
      <w:r xml:space="preserve">
        <w:tab wTab="150" tlc="none" cTlc="0"/>
      </w:r>
      <w:r>
        <w:t xml:space="preserve">H.B.</w:t>
      </w:r>
      <w:r xml:space="preserve">
        <w:t> </w:t>
      </w:r>
      <w:r>
        <w:t xml:space="preserve">No.</w:t>
      </w:r>
      <w:r xml:space="preserve">
        <w:t> </w:t>
      </w:r>
      <w:r>
        <w:t xml:space="preserve">1396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persons to serve on the board of a property owners'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209.00591, Property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person may not serve on the board of a property owners' association if the person cohabits at the same primary residence with another board member of the association. </w:t>
      </w:r>
      <w:r>
        <w:rPr>
          <w:u w:val="single"/>
        </w:rPr>
        <w:t xml:space="preserve"> </w:t>
      </w:r>
      <w:r>
        <w:rPr>
          <w:u w:val="single"/>
        </w:rPr>
        <w:t xml:space="preserve">This subsection does not apply during a subdivision's development period to affect the eligibility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cohabits with a developer of the subdivision regulated by the association;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developer.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the entitlement of a member serving on the board of a property owners'</w:t>
      </w:r>
      <w:r>
        <w:t xml:space="preserve"> </w:t>
      </w:r>
      <w:r>
        <w:t xml:space="preserve">association immediately before the effective date of this Act to continue to carry out the board's functions for the remainder of the member's term.  The change in law applies only to a member elected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