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86R19376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Phelan, Moody</w:t>
      </w:r>
      <w:r xml:space="preserve">
        <w:tab wTab="150" tlc="none" cTlc="0"/>
      </w:r>
      <w:r>
        <w:t xml:space="preserve">H.B.</w:t>
      </w:r>
      <w:r xml:space="preserve">
        <w:t> </w:t>
      </w:r>
      <w:r>
        <w:t xml:space="preserve">No.</w:t>
      </w:r>
      <w:r xml:space="preserve">
        <w:t> </w:t>
      </w:r>
      <w:r>
        <w:t xml:space="preserve">1399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1399:</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storage of DNA records for a person arrested for certain felony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Krystal Jean Baker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42A.352, Code of Criminal Procedure, is amended to read as follows:</w:t>
      </w:r>
    </w:p>
    <w:p w:rsidR="003F3435" w:rsidRDefault="0032493E">
      <w:pPr>
        <w:spacing w:line="480" w:lineRule="auto"/>
        <w:ind w:firstLine="720"/>
        <w:jc w:val="both"/>
      </w:pPr>
      <w:r>
        <w:t xml:space="preserve">Art.</w:t>
      </w:r>
      <w:r xml:space="preserve">
        <w:t> </w:t>
      </w:r>
      <w:r>
        <w:t xml:space="preserve">42A.352.</w:t>
      </w:r>
      <w:r xml:space="preserve">
        <w:t> </w:t>
      </w:r>
      <w:r xml:space="preserve">
        <w:t> </w:t>
      </w:r>
      <w:r>
        <w:t xml:space="preserve">DNA SAMPLE. </w:t>
      </w:r>
      <w:r>
        <w:t xml:space="preserve"> </w:t>
      </w:r>
      <w:r>
        <w:t xml:space="preserve">A judge granting community supervision to a defendant convicted of a felony shall require as a condition of community supervision that the defendant provide a DNA sample under Subchapter G, Chapter 411, Government Code, for the purpose of creating a DNA record of the defendant, unless the defendant has already submitted the required sample under </w:t>
      </w:r>
      <w:r>
        <w:rPr>
          <w:u w:val="single"/>
        </w:rPr>
        <w:t xml:space="preserve">Section 411.1471, Government Code, or</w:t>
      </w:r>
      <w:r>
        <w:t xml:space="preserve"> other [</w:t>
      </w:r>
      <w:r>
        <w:rPr>
          <w:strike/>
        </w:rPr>
        <w:t xml:space="preserve">state</w:t>
      </w:r>
      <w:r>
        <w:t xml:space="preserv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102.020(a),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shall pay as a cost of court:</w:t>
      </w:r>
    </w:p>
    <w:p w:rsidR="003F3435" w:rsidRDefault="0032493E">
      <w:pPr>
        <w:spacing w:line="480" w:lineRule="auto"/>
        <w:ind w:firstLine="1440"/>
        <w:jc w:val="both"/>
      </w:pPr>
      <w:r>
        <w:t xml:space="preserve">(1)</w:t>
      </w:r>
      <w:r xml:space="preserve">
        <w:t> </w:t>
      </w:r>
      <w:r xml:space="preserve">
        <w:t> </w:t>
      </w:r>
      <w:r>
        <w:t xml:space="preserve">$250 on conviction of an offense listed in Section 411.1471(a)(1), Government Code;</w:t>
      </w:r>
    </w:p>
    <w:p w:rsidR="003F3435" w:rsidRDefault="0032493E">
      <w:pPr>
        <w:spacing w:line="480" w:lineRule="auto"/>
        <w:ind w:firstLine="1440"/>
        <w:jc w:val="both"/>
      </w:pPr>
      <w:r>
        <w:t xml:space="preserve">(2)</w:t>
      </w:r>
      <w:r xml:space="preserve">
        <w:t> </w:t>
      </w:r>
      <w:r xml:space="preserve">
        <w:t> </w:t>
      </w:r>
      <w:r>
        <w:t xml:space="preserve">$50 on conviction of an offense described by Section </w:t>
      </w:r>
      <w:r>
        <w:rPr>
          <w:u w:val="single"/>
        </w:rPr>
        <w:t xml:space="preserve">411.1471(a)(2)</w:t>
      </w:r>
      <w:r>
        <w:t xml:space="preserve"> [</w:t>
      </w:r>
      <w:r>
        <w:rPr>
          <w:strike/>
        </w:rPr>
        <w:t xml:space="preserve">411.1471(a)(3)</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$34 on placement of the person on community supervision, including deferred adjudication community supervision, if the person is required to submit a DNA sample under Article 42A.352.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411, Government Code, is amended by adding Section 411.1425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411.1425.</w:t>
      </w:r>
      <w:r>
        <w:rPr>
          <w:u w:val="single"/>
        </w:rPr>
        <w:t xml:space="preserve"> </w:t>
      </w:r>
      <w:r>
        <w:rPr>
          <w:u w:val="single"/>
        </w:rPr>
        <w:t xml:space="preserve"> </w:t>
      </w:r>
      <w:r>
        <w:rPr>
          <w:u w:val="single"/>
        </w:rPr>
        <w:t xml:space="preserve">GRANT FUNDS.  The director shall apply for any available federal grant funds applicable to the creation and storage of DNA records of persons arrested for certain offenses.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411.1471, Government Code, is amended to read as follows:</w:t>
      </w:r>
    </w:p>
    <w:p w:rsidR="003F3435" w:rsidRDefault="0032493E">
      <w:pPr>
        <w:spacing w:line="480" w:lineRule="auto"/>
        <w:ind w:firstLine="720"/>
        <w:jc w:val="both"/>
      </w:pPr>
      <w:r>
        <w:t xml:space="preserve">Sec.</w:t>
      </w:r>
      <w:r xml:space="preserve">
        <w:t> </w:t>
      </w:r>
      <w:r>
        <w:t xml:space="preserve">411.1471.</w:t>
      </w:r>
      <w:r xml:space="preserve">
        <w:t> </w:t>
      </w:r>
      <w:r xml:space="preserve">
        <w:t> </w:t>
      </w:r>
      <w:r>
        <w:t xml:space="preserve">DNA RECORDS OF PERSONS ARRESTED FOR [</w:t>
      </w:r>
      <w:r>
        <w:rPr>
          <w:strike/>
        </w:rPr>
        <w:t xml:space="preserve">, CHARGED WITH,</w:t>
      </w:r>
      <w:r>
        <w:t xml:space="preserve">] OR CONVICTED OF CERTAIN OFFENSES.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411.1471, Government Code, is amended by amending Subsections (a), (b),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rPr>
          <w:u w:val="single"/>
        </w:rPr>
        <w:t xml:space="preserve">arrested</w:t>
      </w:r>
      <w:r>
        <w:t xml:space="preserve"> [</w:t>
      </w:r>
      <w:r>
        <w:rPr>
          <w:strike/>
        </w:rPr>
        <w:t xml:space="preserve">indicted or waives indictment</w:t>
      </w:r>
      <w:r>
        <w:t xml:space="preserve">] for a felony prohibited [</w:t>
      </w:r>
      <w:r>
        <w:rPr>
          <w:strike/>
        </w:rPr>
        <w:t xml:space="preserve">or punishable</w:t>
      </w:r>
      <w:r>
        <w:t xml:space="preserve">] under any of the following Penal Code sections:</w:t>
      </w:r>
    </w:p>
    <w:p w:rsidR="003F3435" w:rsidRDefault="0032493E">
      <w:pPr>
        <w:spacing w:line="480" w:lineRule="auto"/>
        <w:ind w:firstLine="2160"/>
        <w:jc w:val="both"/>
      </w:pPr>
      <w:r>
        <w:t xml:space="preserve">(A)</w:t>
      </w:r>
      <w:r xml:space="preserve">
        <w:t> </w:t>
      </w:r>
      <w:r xml:space="preserve">
        <w:t> </w:t>
      </w:r>
      <w:r>
        <w:rPr>
          <w:u w:val="single"/>
        </w:rPr>
        <w:t xml:space="preserve">Section 19.02;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w:t>
      </w:r>
    </w:p>
    <w:p w:rsidR="003F3435" w:rsidRDefault="0032493E">
      <w:pPr>
        <w:spacing w:line="480" w:lineRule="auto"/>
        <w:ind w:firstLine="2160"/>
        <w:jc w:val="both"/>
      </w:pPr>
      <w:r>
        <w:rPr>
          <w:u w:val="single"/>
        </w:rPr>
        <w:t xml:space="preserve">(D)</w:t>
      </w:r>
      <w:r xml:space="preserve">
        <w:t> </w:t>
      </w:r>
      <w:r xml:space="preserve">
        <w:t> </w:t>
      </w:r>
      <w:r>
        <w:t xml:space="preserve">Section </w:t>
      </w:r>
      <w:r>
        <w:rPr>
          <w:u w:val="single"/>
        </w:rPr>
        <w:t xml:space="preserve">20.04</w:t>
      </w:r>
      <w:r>
        <w:t xml:space="preserve"> [</w:t>
      </w:r>
      <w:r>
        <w:rPr>
          <w:strike/>
        </w:rPr>
        <w:t xml:space="preserve">20.04(a)(4)</w:t>
      </w:r>
      <w: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20.05;</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20.06;</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20A.02;</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20A.03;</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21.02;</w:t>
      </w:r>
    </w:p>
    <w:p w:rsidR="003F3435" w:rsidRDefault="0032493E">
      <w:pPr>
        <w:spacing w:line="480" w:lineRule="auto"/>
        <w:ind w:firstLine="2160"/>
        <w:jc w:val="both"/>
      </w:pPr>
      <w:r>
        <w:rPr>
          <w:u w:val="single"/>
        </w:rPr>
        <w:t xml:space="preserve">(J)</w:t>
      </w:r>
      <w:r xml:space="preserve">
        <w:t> </w:t>
      </w:r>
      <w:r>
        <w:t xml:space="preserve">[</w:t>
      </w:r>
      <w:r>
        <w:rPr>
          <w:strike/>
        </w:rPr>
        <w:t xml:space="preserve">(B)</w:t>
      </w:r>
      <w:r>
        <w:t xml:space="preserve">]</w:t>
      </w:r>
      <w:r xml:space="preserve">
        <w:t> </w:t>
      </w:r>
      <w:r xml:space="preserve">
        <w:t> </w:t>
      </w:r>
      <w:r>
        <w:t xml:space="preserve">Section 21.11;</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22.01;</w:t>
      </w:r>
    </w:p>
    <w:p w:rsidR="003F3435" w:rsidRDefault="0032493E">
      <w:pPr>
        <w:spacing w:line="480" w:lineRule="auto"/>
        <w:ind w:firstLine="2160"/>
        <w:jc w:val="both"/>
      </w:pPr>
      <w:r>
        <w:rPr>
          <w:u w:val="single"/>
        </w:rPr>
        <w:t xml:space="preserve">(L)</w:t>
      </w:r>
      <w:r xml:space="preserve">
        <w:t> </w:t>
      </w:r>
      <w:r>
        <w:t xml:space="preserve">[</w:t>
      </w:r>
      <w:r>
        <w:rPr>
          <w:strike/>
        </w:rPr>
        <w:t xml:space="preserve">(C)</w:t>
      </w:r>
      <w:r>
        <w:t xml:space="preserve">]</w:t>
      </w:r>
      <w:r xml:space="preserve">
        <w:t> </w:t>
      </w:r>
      <w:r xml:space="preserve">
        <w:t> </w:t>
      </w:r>
      <w:r>
        <w:t xml:space="preserve">Section 22.011;</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22.02;</w:t>
      </w:r>
    </w:p>
    <w:p w:rsidR="003F3435" w:rsidRDefault="0032493E">
      <w:pPr>
        <w:spacing w:line="480" w:lineRule="auto"/>
        <w:ind w:firstLine="2160"/>
        <w:jc w:val="both"/>
      </w:pPr>
      <w:r>
        <w:rPr>
          <w:u w:val="single"/>
        </w:rPr>
        <w:t xml:space="preserve">(N)</w:t>
      </w:r>
      <w:r xml:space="preserve">
        <w:t> </w:t>
      </w:r>
      <w:r>
        <w:t xml:space="preserve">[</w:t>
      </w:r>
      <w:r>
        <w:rPr>
          <w:strike/>
        </w:rPr>
        <w:t xml:space="preserve">(D)</w:t>
      </w:r>
      <w:r>
        <w:t xml:space="preserve">]</w:t>
      </w:r>
      <w:r xml:space="preserve">
        <w:t> </w:t>
      </w:r>
      <w:r xml:space="preserve">
        <w:t> </w:t>
      </w:r>
      <w:r>
        <w:t xml:space="preserve">Section 22.021;</w:t>
      </w:r>
    </w:p>
    <w:p w:rsidR="003F3435" w:rsidRDefault="0032493E">
      <w:pPr>
        <w:spacing w:line="480" w:lineRule="auto"/>
        <w:ind w:firstLine="2160"/>
        <w:jc w:val="both"/>
      </w:pPr>
      <w:r>
        <w:rPr>
          <w:u w:val="single"/>
        </w:rPr>
        <w:t xml:space="preserve">(O)</w:t>
      </w:r>
      <w:r xml:space="preserve">
        <w:t> </w:t>
      </w:r>
      <w:r>
        <w:t xml:space="preserve">[</w:t>
      </w:r>
      <w:r>
        <w:rPr>
          <w:strike/>
        </w:rPr>
        <w:t xml:space="preserve">(E)</w:t>
      </w:r>
      <w:r>
        <w:t xml:space="preserve">]</w:t>
      </w:r>
      <w:r xml:space="preserve">
        <w:t> </w:t>
      </w:r>
      <w:r xml:space="preserve">
        <w:t> </w:t>
      </w:r>
      <w:r>
        <w:t xml:space="preserve">Section 25.02;</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29.02;</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29.03;</w:t>
      </w:r>
    </w:p>
    <w:p w:rsidR="003F3435" w:rsidRDefault="0032493E">
      <w:pPr>
        <w:spacing w:line="480" w:lineRule="auto"/>
        <w:ind w:firstLine="2160"/>
        <w:jc w:val="both"/>
      </w:pPr>
      <w:r>
        <w:rPr>
          <w:u w:val="single"/>
        </w:rPr>
        <w:t xml:space="preserve">(R)</w:t>
      </w:r>
      <w:r xml:space="preserve">
        <w:t> </w:t>
      </w:r>
      <w:r>
        <w:t xml:space="preserve">[</w:t>
      </w:r>
      <w:r>
        <w:rPr>
          <w:strike/>
        </w:rPr>
        <w:t xml:space="preserve">(F)</w:t>
      </w:r>
      <w:r>
        <w:t xml:space="preserve">]</w:t>
      </w:r>
      <w:r xml:space="preserve">
        <w:t> </w:t>
      </w:r>
      <w:r xml:space="preserve">
        <w:t> </w:t>
      </w:r>
      <w:r>
        <w:t xml:space="preserve">Section </w:t>
      </w:r>
      <w:r>
        <w:rPr>
          <w:u w:val="single"/>
        </w:rPr>
        <w:t xml:space="preserve">30.02</w:t>
      </w:r>
      <w:r>
        <w:t xml:space="preserve"> [</w:t>
      </w:r>
      <w:r>
        <w:rPr>
          <w:strike/>
        </w:rPr>
        <w:t xml:space="preserve">30.02(d)</w:t>
      </w:r>
      <w:r>
        <w:t xml:space="preserve">];</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31.03;</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43.03;</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Section 43.04;</w:t>
      </w:r>
    </w:p>
    <w:p w:rsidR="003F3435" w:rsidRDefault="0032493E">
      <w:pPr>
        <w:spacing w:line="480" w:lineRule="auto"/>
        <w:ind w:firstLine="2160"/>
        <w:jc w:val="both"/>
      </w:pPr>
      <w:r>
        <w:rPr>
          <w:u w:val="single"/>
        </w:rPr>
        <w:t xml:space="preserve">(V)</w:t>
      </w:r>
      <w:r xml:space="preserve">
        <w:t> </w:t>
      </w:r>
      <w:r>
        <w:t xml:space="preserve">[</w:t>
      </w:r>
      <w:r>
        <w:rPr>
          <w:strike/>
        </w:rPr>
        <w:t xml:space="preserve">(G)</w:t>
      </w:r>
      <w:r>
        <w:t xml:space="preserve">]</w:t>
      </w:r>
      <w:r xml:space="preserve">
        <w:t> </w:t>
      </w:r>
      <w:r xml:space="preserve">
        <w:t> </w:t>
      </w:r>
      <w:r>
        <w:t xml:space="preserve">Section 43.05;</w:t>
      </w:r>
    </w:p>
    <w:p w:rsidR="003F3435" w:rsidRDefault="0032493E">
      <w:pPr>
        <w:spacing w:line="480" w:lineRule="auto"/>
        <w:ind w:firstLine="2160"/>
        <w:jc w:val="both"/>
      </w:pPr>
      <w:r>
        <w:rPr>
          <w:u w:val="single"/>
        </w:rPr>
        <w:t xml:space="preserve">(W)</w:t>
      </w:r>
      <w:r xml:space="preserve">
        <w:t> </w:t>
      </w:r>
      <w:r>
        <w:t xml:space="preserve">[</w:t>
      </w:r>
      <w:r>
        <w:rPr>
          <w:strike/>
        </w:rPr>
        <w:t xml:space="preserve">(H)</w:t>
      </w:r>
      <w:r>
        <w:t xml:space="preserve">]</w:t>
      </w:r>
      <w:r xml:space="preserve">
        <w:t> </w:t>
      </w:r>
      <w:r xml:space="preserve">
        <w:t> </w:t>
      </w:r>
      <w:r>
        <w:t xml:space="preserve">Section 43.25; </w:t>
      </w:r>
      <w:r>
        <w:rPr>
          <w:u w:val="single"/>
        </w:rPr>
        <w:t xml:space="preserve">or</w:t>
      </w:r>
    </w:p>
    <w:p w:rsidR="003F3435" w:rsidRDefault="0032493E">
      <w:pPr>
        <w:spacing w:line="480" w:lineRule="auto"/>
        <w:ind w:firstLine="2160"/>
        <w:jc w:val="both"/>
      </w:pPr>
      <w:r>
        <w:rPr>
          <w:u w:val="single"/>
        </w:rPr>
        <w:t xml:space="preserve">(X)</w:t>
      </w:r>
      <w:r xml:space="preserve">
        <w:t> </w:t>
      </w:r>
      <w:r>
        <w:t xml:space="preserve">[</w:t>
      </w:r>
      <w:r>
        <w:rPr>
          <w:strike/>
        </w:rPr>
        <w:t xml:space="preserve">(I)</w:t>
      </w:r>
      <w:r>
        <w:t xml:space="preserve">]</w:t>
      </w:r>
      <w:r xml:space="preserve">
        <w:t> </w:t>
      </w:r>
      <w:r xml:space="preserve">
        <w:t> </w:t>
      </w:r>
      <w:r>
        <w:t xml:space="preserve">Section 43.26; </w:t>
      </w:r>
      <w:r>
        <w:rPr>
          <w:u w:val="single"/>
        </w:rPr>
        <w:t xml:space="preserve">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21.02; or</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20A.03;</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20.02, 22.01, or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w:t>
      </w:r>
      <w:r>
        <w:rPr>
          <w:strike/>
        </w:rPr>
        <w:t xml:space="preserve">43.03,</w:t>
      </w:r>
      <w:r>
        <w:t xml:space="preserve">] or 43.24, Penal Code.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After a defendant described by Subsection (a)(1) is indicted or waives indictment, the court in which the case is pending shall require the defendant to provide to a law enforcement agency one or more specimens for the purpose of creating a DNA record.</w:t>
      </w:r>
      <w:r>
        <w:t xml:space="preserve">] </w:t>
      </w:r>
      <w:r>
        <w:t xml:space="preserve"> </w:t>
      </w:r>
      <w:r>
        <w:t xml:space="preserve">A law enforcement agency arresting a defendant described by Subsection </w:t>
      </w:r>
      <w:r>
        <w:rPr>
          <w:u w:val="single"/>
        </w:rPr>
        <w:t xml:space="preserve">(a)(1)</w:t>
      </w:r>
      <w:r>
        <w:t xml:space="preserve"> [</w:t>
      </w:r>
      <w:r>
        <w:rPr>
          <w:strike/>
        </w:rPr>
        <w:t xml:space="preserve">(a)(2)</w:t>
      </w:r>
      <w:r>
        <w:t xml:space="preserve">],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rPr>
          <w:u w:val="single"/>
        </w:rPr>
        <w:t xml:space="preserve">(b-1)</w:t>
      </w:r>
      <w:r xml:space="preserve">
        <w:t> </w:t>
      </w:r>
      <w:r xml:space="preserve">
        <w:t> </w:t>
      </w:r>
      <w:r>
        <w:t xml:space="preserve">After a defendant described by Subsection </w:t>
      </w:r>
      <w:r>
        <w:rPr>
          <w:u w:val="single"/>
        </w:rPr>
        <w:t xml:space="preserve">(a)(2)</w:t>
      </w:r>
      <w:r>
        <w:t xml:space="preserve"> [</w:t>
      </w:r>
      <w:r>
        <w:rPr>
          <w:strike/>
        </w:rPr>
        <w:t xml:space="preserve">(a)(3)</w:t>
      </w:r>
      <w:r>
        <w:t xml:space="preserve">] is convicted, the court shall require the defendant to provide to a law enforcement agency one or more specimens for the purpose of creating a DNA record.</w:t>
      </w:r>
    </w:p>
    <w:p w:rsidR="003F3435" w:rsidRDefault="0032493E">
      <w:pPr>
        <w:spacing w:line="480" w:lineRule="auto"/>
        <w:ind w:firstLine="720"/>
        <w:jc w:val="both"/>
      </w:pPr>
      <w:r>
        <w:t xml:space="preserve">(e)</w:t>
      </w:r>
      <w:r xml:space="preserve">
        <w:t> </w:t>
      </w:r>
      <w:r xml:space="preserve">
        <w:t> </w:t>
      </w:r>
      <w:r>
        <w:t xml:space="preserve">Notwithstanding Subsection (d), on acquittal of a defendant described by Subsection (a)(1) [</w:t>
      </w:r>
      <w:r>
        <w:rPr>
          <w:strike/>
        </w:rPr>
        <w:t xml:space="preserve">or (2)</w:t>
      </w:r>
      <w:r>
        <w:t xml:space="preserve">] or dismissal of the case against the defendant, the court shall order the law enforcement agency taking the specimen to immediately destroy the record of the collection of the specimen and require the department to destroy the specimen and the record of its receipt.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