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86R1676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game rooms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234.132,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234.132.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 has a population of less than 25,000, is adjacent to the Gulf of Mexico, and is within 50 miles of an international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county that is adjacent to the Gulf of Mexico and to a county that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county located on the Texas-Mexico border that has a population of less than 300,000 and contains a municipality with a population of 200,000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county that has a population of 550,000 or more and is adjacent to a county described by Subdivision (2);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county that is located in the Permian Basin within 25 miles of this state's border with another state of the United States and has a population of more than 130,000;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county that is located on this state's border with Louisiana, has a population of more than 65,000, and is within 50 miles of a municipality in Louisiana with a population of more than 150,000;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county that has a population of more than 200,000 and less than 220,000;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county that has a population of more than 1.8 million and that is adjacent to a county with a population of more than 2.2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has a population of less than 40,000 and is adjacent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described by Subdivision (7);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described by Subdivision (8)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