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86R4808 GCB-F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prescription of low-THC cannabis by certain qualified physicians for certain patients diagnosed with a terminal illness.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169.001, Occupations Code, is amended by adding Subdivisions (1-a) and (6)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"Hospice-eligible patient" means a person with a terminal illness whose life expectancy is six months or less, as determined by the person's treating physician.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"Terminal illness" has the meaning assigned by Section 489.001,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169.002, Occupations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is qualified to prescribe low-THC cannabis to a hospice-eligible patient if the physician is licensed under this subtitle and the physician: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certified in the subspecialty of medical oncology by the American Board of Internal Medicine or the American Osteopathic Board of Internal Medicine;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certified in the subspecialty of hospice and palliative medicine by the American Board of Internal Medicine;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dedicates a significant portion of clinical practice to the evaluation and treatment of patients with a terminal illness.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169.003,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169.003.</w:t>
      </w:r>
      <w:r xml:space="preserve">
        <w:t> </w:t>
      </w:r>
      <w:r xml:space="preserve">
        <w:t> </w:t>
      </w:r>
      <w:r>
        <w:t xml:space="preserve">PRESCRIPTION OF LOW-THC CANNABIS.</w:t>
      </w:r>
      <w:r xml:space="preserve">
        <w:t> </w:t>
      </w:r>
      <w:r xml:space="preserve">
        <w:t> </w:t>
      </w:r>
      <w:r>
        <w:t xml:space="preserve">A physician described by Section 169.002 may prescribe low-THC cannabis to alleviate a patient's </w:t>
      </w:r>
      <w:r>
        <w:rPr>
          <w:u w:val="single"/>
        </w:rPr>
        <w:t xml:space="preserve">symptoms</w:t>
      </w:r>
      <w:r>
        <w:t xml:space="preserve"> [</w:t>
      </w:r>
      <w:r>
        <w:rPr>
          <w:strike/>
        </w:rPr>
        <w:t xml:space="preserve">seizures</w:t>
      </w:r>
      <w:r>
        <w:t xml:space="preserve">]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patient is a permanent resident of the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physician complies with the registration requirements of Section 169.004;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physician certifies to the department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patient is diagnosed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intractable epilepsy;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terminal illness and is a hospice-eligible patient;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physician determines the risk of the medical use of low-THC cannabis by the patient is reasonable in light of the potential benefit for the patient;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second physician qualified to prescribe low-THC cannabis </w:t>
      </w:r>
      <w:r>
        <w:rPr>
          <w:u w:val="single"/>
        </w:rPr>
        <w:t xml:space="preserve">for that patient</w:t>
      </w:r>
      <w:r>
        <w:t xml:space="preserve"> under Section 169.002 has concurred with the determination under Paragraph (B), and the second physician's concurrence is recorded in the patient's medical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