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building construction contracts entered into by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44, Education Code, is amended by adding Section 44.035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44.035.</w:t>
      </w:r>
      <w:r>
        <w:rPr>
          <w:u w:val="single"/>
        </w:rPr>
        <w:t xml:space="preserve"> </w:t>
      </w:r>
      <w:r>
        <w:rPr>
          <w:u w:val="single"/>
        </w:rPr>
        <w:t xml:space="preserve"> </w:t>
      </w:r>
      <w:r>
        <w:rPr>
          <w:u w:val="single"/>
        </w:rPr>
        <w:t xml:space="preserve">ADOPTION OF UNIFORM GENERAL CONDITIONS FOR SCHOOL DISTRICT BUILDING CONSTRUCTION CONTRACTS.  (a)  After reviewing the uniform general conditions adopted by the Texas Facilities Commission under Section 2166.302, Government Code, the agency by rule shall adopt uniform general conditions to be incorporated in all building construction contracts made by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date the Texas Facilities Commission adopts additional uniform general conditions or amends the uniform general conditions adopted under Section 2166.302, Government Code, the agency shall review those additions or amendments and the agency's uniform general conditions for school district building construction contracts and modify the conditions for school district building construction contracts as the agency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180th day after the effective date of this Act, the Texas Education Agency by rule shall adopt the initial uniform general conditions applicable to building construction contracts made by school districts as provided by Section 44.035(a),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