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20,000 and is wholly located in a county with a population of more than 55,000 and less than 65,000;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