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86R8269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1420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Public Health Funding and Policy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117.052(a),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appoint </w:t>
      </w:r>
      <w:r>
        <w:rPr>
          <w:u w:val="single"/>
        </w:rPr>
        <w:t xml:space="preserve">10</w:t>
      </w:r>
      <w:r>
        <w:t xml:space="preserve"> [</w:t>
      </w:r>
      <w:r>
        <w:rPr>
          <w:strike/>
        </w:rPr>
        <w:t xml:space="preserve">nine</w:t>
      </w:r>
      <w:r>
        <w:t xml:space="preserve">] members to the committee as follows:</w:t>
      </w:r>
    </w:p>
    <w:p w:rsidR="003F3435" w:rsidRDefault="0032493E">
      <w:pPr>
        <w:spacing w:line="480" w:lineRule="auto"/>
        <w:ind w:firstLine="1440"/>
        <w:jc w:val="both"/>
      </w:pPr>
      <w:r>
        <w:t xml:space="preserve">(1)</w:t>
      </w:r>
      <w:r xml:space="preserve">
        <w:t> </w:t>
      </w:r>
      <w:r xml:space="preserve">
        <w:t> </w:t>
      </w:r>
      <w:r>
        <w:t xml:space="preserve">two regional health directors, each of whom is serving as a health authority in a municipality or county;</w:t>
      </w:r>
    </w:p>
    <w:p w:rsidR="003F3435" w:rsidRDefault="0032493E">
      <w:pPr>
        <w:spacing w:line="480" w:lineRule="auto"/>
        <w:ind w:firstLine="1440"/>
        <w:jc w:val="both"/>
      </w:pPr>
      <w:r>
        <w:t xml:space="preserve">(2)</w:t>
      </w:r>
      <w:r xml:space="preserve">
        <w:t> </w:t>
      </w:r>
      <w:r xml:space="preserve">
        <w:t> </w:t>
      </w:r>
      <w:r>
        <w:t xml:space="preserve">one local health entity representative of a municipality or county with a population of 50,000 or less;</w:t>
      </w:r>
    </w:p>
    <w:p w:rsidR="003F3435" w:rsidRDefault="0032493E">
      <w:pPr>
        <w:spacing w:line="480" w:lineRule="auto"/>
        <w:ind w:firstLine="1440"/>
        <w:jc w:val="both"/>
      </w:pPr>
      <w:r>
        <w:t xml:space="preserve">(3)</w:t>
      </w:r>
      <w:r xml:space="preserve">
        <w:t> </w:t>
      </w:r>
      <w:r xml:space="preserve">
        <w:t> </w:t>
      </w:r>
      <w:r>
        <w:t xml:space="preserve">one local health entity representative from a municipality or county with a population greater than 50,000 but less than 250,000;</w:t>
      </w:r>
    </w:p>
    <w:p w:rsidR="003F3435" w:rsidRDefault="0032493E">
      <w:pPr>
        <w:spacing w:line="480" w:lineRule="auto"/>
        <w:ind w:firstLine="1440"/>
        <w:jc w:val="both"/>
      </w:pPr>
      <w:r>
        <w:t xml:space="preserve">(4)</w:t>
      </w:r>
      <w:r xml:space="preserve">
        <w:t> </w:t>
      </w:r>
      <w:r xml:space="preserve">
        <w:t> </w:t>
      </w:r>
      <w:r>
        <w:t xml:space="preserve">one local health entity representative from a municipality or county with a population of at least 250,000;</w:t>
      </w:r>
    </w:p>
    <w:p w:rsidR="003F3435" w:rsidRDefault="0032493E">
      <w:pPr>
        <w:spacing w:line="480" w:lineRule="auto"/>
        <w:ind w:firstLine="1440"/>
        <w:jc w:val="both"/>
      </w:pPr>
      <w:r>
        <w:t xml:space="preserve">(5)</w:t>
      </w:r>
      <w:r xml:space="preserve">
        <w:t> </w:t>
      </w:r>
      <w:r xml:space="preserve">
        <w:t> </w:t>
      </w:r>
      <w:r>
        <w:t xml:space="preserve">two local health entity representatives, each of whom serves in a municipality or county as the health authority;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two representatives of schools of public health at institutions of higher education in this state</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from the department's Office of Border Health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117.053(a),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Committee members serve staggered six-year terms, with the terms of three </w:t>
      </w:r>
      <w:r>
        <w:rPr>
          <w:u w:val="single"/>
        </w:rPr>
        <w:t xml:space="preserve">or four</w:t>
      </w:r>
      <w:r>
        <w:t xml:space="preserve"> members expiring on February 1 of each odd-numbered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the Department of State Health Services shall make the appointment required by Section 117.052(a)(7),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