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86R6754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1430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termination by a managed care organization of a provider's participation in Medicaid and child health plan program provider networks.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533.006,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care organization may not terminate a health care provider's participation in the organization's provider network without cause.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62.155,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managed care organization or other entity selected as a health plan provider under the child health plan program may not terminate a health care provider's participation in the organization's or entity's provider network without cause.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 contract between a managed care organization or other entity and a health care provider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