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86R7203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H.B.</w:t>
      </w:r>
      <w:r xml:space="preserve">
        <w:t> </w:t>
      </w:r>
      <w:r>
        <w:t xml:space="preserve">No.</w:t>
      </w:r>
      <w:r xml:space="preserve">
        <w:t> </w:t>
      </w:r>
      <w:r>
        <w:t xml:space="preserve">1431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investigation unit within the Health and Human Services Commission for certain unlicensed child-care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531, Government Code, is amended by adding Section 531.0084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531.0084.</w:t>
      </w:r>
      <w:r>
        <w:rPr>
          <w:u w:val="single"/>
        </w:rPr>
        <w:t xml:space="preserve"> </w:t>
      </w:r>
      <w:r>
        <w:rPr>
          <w:u w:val="single"/>
        </w:rPr>
        <w:t xml:space="preserve"> </w:t>
      </w:r>
      <w:r>
        <w:rPr>
          <w:u w:val="single"/>
        </w:rPr>
        <w:t xml:space="preserve">INVESTIGATION UNIT FOR UNLICENSED CHILD-CARE FACILITIES.  The executive commissioner shall maintain a unit within the child-care licensing division of the commission consisting of investigators whose primary responsibilities are to identify unlicensed child-care facilities and to initiate appropriate enforcement actions against those facilities.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possible after the effective date of this Act, the executive commissioner of the Health and Human Services Commission shall establish the investigation unit required by Section 531.0084,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