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A&amp;M University--San Antonio;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54.53971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54.53971.</w:t>
      </w:r>
      <w:r>
        <w:rPr>
          <w:u w:val="single"/>
        </w:rPr>
        <w:t xml:space="preserve"> </w:t>
      </w:r>
      <w:r>
        <w:rPr>
          <w:u w:val="single"/>
        </w:rPr>
        <w:t xml:space="preserve"> </w:t>
      </w:r>
      <w:r>
        <w:rPr>
          <w:u w:val="single"/>
        </w:rPr>
        <w:t xml:space="preserve">INTERCOLLEGIATE ATHLETICS FEES; TEXAS A&amp;M UNIVERSITY--SAN ANTONIO. </w:t>
      </w:r>
      <w:r>
        <w:rPr>
          <w:u w:val="single"/>
        </w:rPr>
        <w:t xml:space="preserve"> </w:t>
      </w:r>
      <w:r>
        <w:rPr>
          <w:u w:val="single"/>
        </w:rPr>
        <w:t xml:space="preserve">(a) </w:t>
      </w:r>
      <w:r>
        <w:rPr>
          <w:u w:val="single"/>
        </w:rPr>
        <w:t xml:space="preserve"> </w:t>
      </w:r>
      <w:r>
        <w:rPr>
          <w:u w:val="single"/>
        </w:rP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imposed under this section may be used to develop and maintain an intercollegiate athletics program at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imposed under this section is in addition to any other fee authorized by law and may not be considered in determining the amount of student services fees that may be imposed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1439 was passed by the House on April 26, 2019, by the following vote:</w:t>
      </w:r>
      <w:r xml:space="preserve">
        <w:t> </w:t>
      </w:r>
      <w:r xml:space="preserve">
        <w:t> </w:t>
      </w:r>
      <w:r>
        <w:t xml:space="preserve">Yeas 115, Nays 24,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1439 was passed by the Senate on May 15,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