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86R24904 LED-F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Hunter, Raney, Zedler, Muñoz, Jr.,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1455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audit of wholesale invoices during certain audits of pharmacists and pharmacies.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1369, Insurance Code, is amended by adding Section 1369.2581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1369.2581.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AUDIT DISCREPANCIES; WHOLESALE INVOICES.  (a)  A health benefit plan issuer or pharmacy benefit manager that audits wholesale invoices during an audit of a pharmacist or pharmacy may not audit the pharmacy claims of another health benefit plan or pharmacy benefit manager.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shall reverse a finding of a discrepancy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Drug Code for the dispensed drug is in a quantity that is a subunit or multiple of the drug purchased by the pharmacist or pharmacy as supported by a wholesale invoice;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pharmacist or pharmacy dispensed the correct quantity of the drug according to the prescription;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drug dispensed by the pharmacist or pharmacy shares all but the last two digits of the National Drug Code of the drug reflected on the supplier invoice.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must accept as evidence to support the validity of a pharmacy claim related to a dispensed drug: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validation, including validation by pharmacy purchase order and payment of a supplier invoice, copies of supplier invoices in the pharmacist's or pharmacy's possession,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supplier invoices issued before the date the drug was dispensed and not earlier than 60 days before the first day of the audit period;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invoices and any supporting documents from any supplier authorized by federal or state law to transfer ownership of the drug acquired by the pharmacist or pharmacy;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reports required by any state board or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must provide, not later than the fifth business day after the date of a request by the pharmacist or pharmacy, any supporting documents the pharmacist's or pharmacy's suppliers provided to the health benefit plan issuer or pharmacy benefit manager.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audit conducted under a contract between a pharmacist or pharmacy and a health benefit plan issuer or pharmacy benefit manager entered into, amended,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