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audit of wholesale invoices during certain audits of pharmacists and pharmacies.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1369, Insurance Code, is amended by adding Section 1369.2581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1369.2581.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AUDIT DISCREPANCIES; WHOLESALE INVOICES.  (a)  A health benefit plan issuer or pharmacy benefit manager that audits wholesale invoices during an audit of a pharmacist or pharmacy may not audit the pharmacy claims of another health benefit plan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shall reverse a finding of a discrepancy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Drug Code for the dispensed drug is in a quantity that is a subunit or multiple of the drug purchased by the pharmacist or pharmacy as supported by a wholesale invoice;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or pharmacy dispensed the correct quantity of the drug according to the prescription;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dispensed by the pharmacist or pharmacy shares all but the last two digits of the National Drug Code of the drug reflected on the supplier invoice.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accept as evidence to support the validity of a pharmacy claim related to a dispensed drug: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validation, including validation by pharmacy purchase order and payment of a supplier invoice, copies of supplier invoices in the pharmacist's or pharmacy's possession,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supplier invoices issued before the date the drug was dispensed and not earlier than 60 days before the first day of the audit period;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invoices and any supporting documents from any supplier authorized by federal or state law to transfer ownership of the drug acquired by the pharmacist or pharmacy;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required by any state board or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provide, not later than the fifth business day after the date of a request by the pharmacist or pharmacy, any supporting documents the pharmacist's or pharmacy's suppliers provided to the health benefit plan issuer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audit conducted under a contract between a pharmacist or pharmacy and a health benefit plan issuer or pharmacy benefit manager entered into, amended,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1455 was passed by the House on April 24,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1455 was passed by the Senate on May 19,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