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86R888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1455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audit of wholesale invoices during certain audits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1369, Insurance Code, is amended by adding Section 1369.2581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1369.2581.</w:t>
      </w:r>
      <w:r>
        <w:rPr>
          <w:u w:val="single"/>
        </w:rPr>
        <w:t xml:space="preserve"> </w:t>
      </w:r>
      <w:r>
        <w:rPr>
          <w:u w:val="single"/>
        </w:rPr>
        <w:t xml:space="preserve"> </w:t>
      </w:r>
      <w:r>
        <w:rPr>
          <w:u w:val="single"/>
        </w:rPr>
        <w:t xml:space="preserve">AUDIT DISCREPANCIES; WHOLESALE INVOICES.  (a)  A health benefit plan issuer or pharmacy benefit manager that audits wholesale invoices during an audit of a pharmacist or pharmacy may not audit the pharmacy claims of another health benefit plan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shall reverse a finding of a discrepancy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National Drug Code for the dispensed drug is in a quantity that is a subunit or multiple of the drug purchased by the pharmacist or pharmacy as supported by a wholesale invoice;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pharmacist or pharmacy dispensed the correct quantity of the drug;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dispensed drug is identical in strength and dosage to the drug purchased by the pharmacist or pharmacy from the wholesaler.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or pharmacy benefit manager must accept as evidence to support the validity of a pharmacy claim related to a dispensed drug: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supplier invoices in the pharmacist's or pharmacy's possession,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supplier invoices issued before the date the drug was dispensed;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invoices from any supplier authorized to transfer ownership of the drug acquired by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required by any state board or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issuer or pharmacy benefit manager must provide, not later than the fifth business day after a request by the pharmacist or pharmacy, any supporting documents the pharmacist's or pharmacy's suppliers provided to the health benefit plan issuer or pharmacy benefit manager.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issuer or pharmacy benefit manager may not recoup any amount based on a wholesale invoice discrepancy regarding the patient's receipt of a dispensed drug if the audited pharmacy claim is supported by records of the pharmacist or pharmacy showing that the patient or patient's agent received the dispensed drug underlying the audited pharmacy claim.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audit conducted under a contract between a pharmacist or pharmacy and a health benefit plan issuer or pharmacy benefit manager entered into, amended,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