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Hunter,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1455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Buckingham, Schwertner)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25,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read first time and referred to Committee on Business &amp; Commerce;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audit of wholesale invoices during certain audits of pharmacists and pharmacies.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1369, Insurance Code, is amended by adding Section 1369.2581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1369.2581.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AUDIT DISCREPANCIES; WHOLESALE INVOICES.  (a)  A health benefit plan issuer or pharmacy benefit manager that audits wholesale invoices during an audit of a pharmacist or pharmacy may not audit the pharmacy claims of another health benefit plan or pharmacy benefit manager.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or pharmacy benefit manager shall reverse a finding of a discrepancy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National Drug Code for the dispensed drug is in a quantity that is a subunit or multiple of the drug purchased by the pharmacist or pharmacy as supported by a wholesale invoice;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pharmacist or pharmacy dispensed the correct quantity of the drug according to the prescription;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drug dispensed by the pharmacist or pharmacy shares all but the last two digits of the National Drug Code of the drug reflected on the supplier invoice.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or pharmacy benefit manager must accept as evidence to support the validity of a pharmacy claim related to a dispensed drug: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validation, including validation by pharmacy purchase order and payment of a supplier invoice, copies of supplier invoices in the pharmacist's or pharmacy's possession,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supplier invoices issued before the date the drug was dispensed and not earlier than 60 days before the first day of the audit period;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invoices and any supporting documents from any supplier authorized by federal or state law to transfer ownership of the drug acquired by the pharmacist or pharmacy;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reports required by any state board or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or pharmacy benefit manager must provide, not later than the fifth business day after the date of a request by the pharmacist or pharmacy, any supporting documents the pharmacist's or pharmacy's suppliers provided to the health benefit plan issuer or pharmacy benefit manager.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an audit conducted under a contract between a pharmacist or pharmacy and a health benefit plan issuer or pharmacy benefit manager entered into, amended, or renewed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