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86R23971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1468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1468:</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examine the effectiveness of school mental health programs provided for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38.038.</w:t>
      </w:r>
      <w:r>
        <w:rPr>
          <w:u w:val="single"/>
        </w:rPr>
        <w:t xml:space="preserve"> </w:t>
      </w:r>
      <w:r>
        <w:rPr>
          <w:u w:val="single"/>
        </w:rPr>
        <w:t xml:space="preserve"> </w:t>
      </w:r>
      <w:r>
        <w:rPr>
          <w:u w:val="single"/>
        </w:rPr>
        <w:t xml:space="preserve">PUBLIC SCHOOL MENTAL HEALTH TASK FORCE; REPORT.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school chief executive officer" means the superintendent of a school district or the chief executive officer of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school mental health professional" means a person who provides counseling services in a public school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physician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graduate of an accredited psychiatric residency training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certified in psychiatry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American Board of Psychiatry and Neurology;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American Osteopathic Board of Neurology and Psychiatry;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registered nurse, as defined by Section 301.152, Occupations Code, who holds a nationally recognized board certification in psychiatric or mental health nursing;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psychologist, as defined by Section 501.002, Occupations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School Mental Health task force is established under this section to examine the effectiveness of school mental health programs provided for students enrolled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25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school counselors certified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of a public school counseling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public school mental health professionals;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five public school chief executive officers;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four representatives of regional education service centers who have experience with school counseling;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the State Board of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of the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representatives of professional counseling organizations;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research organizations that have conducted academic research on school counseling.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appoint the members of the task force not later than December 31, 2020.  The commissioner shall fill a vacancy in the task force by the appointment of another person with the same qualifications as the original appointee.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representative of the agency shall serve as the presiding officer of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officer shall call the initial meeting of the task force on or before January 31, 2021.  The task force shall meet at least twice each year in Austin, Texas, and at other times and places that the presiding officer determines are 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types of mental health services that public schools provide;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other existing measures used by schools that positively affect student mental health;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which school mental health programs achieve the best performance, considering the cost of the program, the number of students served, and the effectiveness of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which school mental health programs schools prefer to use;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 a statistical analysis, incorporating information on student demographics, including student family average income, to determine the overall effectiveness of school mental health programs and the impact on student achievement and performance.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August 31, 2022, the task force shall deliver a report to the commissioner detailing the task force's findings and recommendations and the results of the statistical analysis conducted by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is abolished, and this section expires, December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