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86R2919 SMT-F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common characteristic or use project in a public improvement district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372.0035, Local Government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650,000 and less than two million;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more than 325,000 and less than 625,000;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105,000 and is wholly located in a county with a population of less than 250,000;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public improvement district established under this subchapter and solely composed of territory in which the only businesses are: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hotels with 100 or more rooms ordinarily used for sleeping, if the district is established by a municipality described by Subdivision (1)(A);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hotels with 75 or more rooms ordinarily used for sleeping, if the district is established by a municipality described by Subdivision (1)(B) </w:t>
      </w:r>
      <w:r>
        <w:rPr>
          <w:u w:val="single"/>
        </w:rPr>
        <w:t xml:space="preserve">or (C)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undertake a project under this section only for a purpose described by Section 372.003(b)(13).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limitation on authority imposed by Section 372.0035(e), Local Government Code, as added by this Act, applies only to a common characteristic or use project undertaken by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