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86R3719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1475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county road administration laws to McLennan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252.101(a),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does not apply to Angelina, Aransas, Blanco, Bowie, Calhoun, Camp, Cass, Cherokee, Comal, Dallas, Delta, DeWitt, Fayette, Franklin, Galveston, Gillespie, Grayson, Gregg, Harris, Harrison, Henderson, Hill, Hopkins, Houston, Jack, Jackson, Jasper, Lamar, Lavaca, Limestone, [</w:t>
      </w:r>
      <w:r>
        <w:rPr>
          <w:strike/>
        </w:rPr>
        <w:t xml:space="preserve">McLennan,</w:t>
      </w:r>
      <w:r>
        <w:t xml:space="preserve">] Milam, Montgomery, Morris, Nacogdoches, Newton, Parker, Rains, Red River, Refugio, Sabine, San Augustine, Shelby, Smith, Tarrant, Titus, Travis, Trinity, Tyler, Upshur, Van Zandt, Victoria, Washington, or Wood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252.201(a),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does not apply to Angelina, Aransas, Blanco, Bowie, Calhoun, Camp, Cass, Cherokee, Comal, Dallas, Delta, DeWitt, Fayette, Franklin, Galveston, Gillespie, Grayson, Gregg, Harris, Harrison, Henderson, Hill, Hopkins, Houston, Jack, Jackson, Jasper, Lamar, Lavaca, Limestone, [</w:t>
      </w:r>
      <w:r>
        <w:rPr>
          <w:strike/>
        </w:rPr>
        <w:t xml:space="preserve">McLennan,</w:t>
      </w:r>
      <w:r>
        <w:t xml:space="preserve">] Milam, Montgomery, Morris, Nacogdoches, Newton, Parker, Rains, Red River, Refugio, Sabine, San Augustine, Shelby, Smith, Tarrant, Titus, Travis, Trinity, Tyler, Upshur, Van Zandt, Victoria, Washington, or Wood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34 (S.B. 115), Acts of the 41st Legislature, 1st Called Session, 1929,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