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86R8505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H.B.</w:t>
      </w:r>
      <w:r xml:space="preserve">
        <w:t> </w:t>
      </w:r>
      <w:r>
        <w:t xml:space="preserve">No.</w:t>
      </w:r>
      <w:r xml:space="preserve">
        <w:t> </w:t>
      </w:r>
      <w:r>
        <w:t xml:space="preserve">1488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financing of recreational facilities by the Charterwood Municipal Utility District of Harris County;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8054 to read as follows:</w:t>
      </w:r>
    </w:p>
    <w:p w:rsidR="003F3435" w:rsidRDefault="0032493E">
      <w:pPr>
        <w:spacing w:line="480" w:lineRule="auto"/>
        <w:jc w:val="center"/>
      </w:pPr>
      <w:r>
        <w:rPr>
          <w:u w:val="single"/>
        </w:rPr>
        <w:t xml:space="preserve">CHAPTER 8054. CHARTERWOOD MUNICIPAL UTILITY DISTRICT OF HARRIS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8054.0101.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 means the Charterwood Municipal Utility District of Harris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"Recreational facilities" has the meaning assigned by Section 49.462, Water Code.</w:t>
      </w:r>
    </w:p>
    <w:p w:rsidR="003F3435" w:rsidRDefault="0032493E">
      <w:pPr>
        <w:spacing w:line="480" w:lineRule="auto"/>
        <w:jc w:val="center"/>
      </w:pPr>
      <w:r>
        <w:rPr>
          <w:u w:val="single"/>
        </w:rPr>
        <w:t xml:space="preserve">SUBCHAPTER B.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8054.0201.</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limitation on the outstanding principal amount of bonds, notes, and other obligations provided by Section 49.4645(a), Water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outstanding principal amount of bonds, notes, and other obligations issued to finance recreational facilities supported by ad valorem taxes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amount equal to three percent of the value of the taxable property 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supported by contract taxes under Section 49.108, Water Code, an amount equal to three percent of the value of the taxable property in the districts making payments under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amounts described by Subsection (b) are calculated based on the tax rolls of the central appraisal districts at the time of the issuance of the bonds, notes, and other obligations.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