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1488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financing of recreational facilities by the Charterwood Municipal Utility District of Harris County; providing authority to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8054 to read as follows:</w:t>
      </w:r>
    </w:p>
    <w:p w:rsidR="003F3435" w:rsidRDefault="0032493E">
      <w:pPr>
        <w:spacing w:line="480" w:lineRule="auto"/>
        <w:jc w:val="center"/>
      </w:pPr>
      <w:r>
        <w:rPr>
          <w:u w:val="single"/>
        </w:rPr>
        <w:t xml:space="preserve">CHAPTER 8054. CHARTERWOOD MUNICIPAL UTILITY DISTRICT OF HARRIS COUNTY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8054.0101.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"District" means the Charterwood Municipal Utility District of Harris County.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"Recreational facilities" has the meaning assigned by Section 49.462, Water Code.</w:t>
      </w:r>
    </w:p>
    <w:p w:rsidR="003F3435" w:rsidRDefault="0032493E">
      <w:pPr>
        <w:spacing w:line="480" w:lineRule="auto"/>
        <w:jc w:val="center"/>
      </w:pPr>
      <w:r>
        <w:rPr>
          <w:u w:val="single"/>
        </w:rPr>
        <w:t xml:space="preserve">SUBCHAPTER B.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8054.0201.</w:t>
      </w:r>
      <w:r>
        <w:rPr>
          <w:u w:val="single"/>
        </w:rPr>
        <w:t xml:space="preserve"> </w:t>
      </w:r>
      <w:r>
        <w:rPr>
          <w:u w:val="single"/>
        </w:rPr>
        <w:t xml:space="preserve"> </w:t>
      </w:r>
      <w:r>
        <w:rPr>
          <w:u w:val="single"/>
        </w:rPr>
        <w:t xml:space="preserve">BONDS FOR RECREATIONAL FACILITIES.  (a) </w:t>
      </w:r>
      <w:r>
        <w:rPr>
          <w:u w:val="single"/>
        </w:rPr>
        <w:t xml:space="preserve"> </w:t>
      </w:r>
      <w:r>
        <w:rPr>
          <w:u w:val="single"/>
        </w:rPr>
        <w:t xml:space="preserve">The limitation on the outstanding principal amount of bonds, notes, and other obligations provided by Section 49.4645(a), Water Code, does not apply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outstanding principal amount of bonds, notes, and other obligations issued to finance recreational facilities supported by ad valorem taxes may not exceed: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amount equal to three percent of the value of the taxable property in the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supported by contract taxes under Section 49.108, Water Code, an amount equal to three percent of the value of the taxable property in the districts making payments under the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amounts described by Subsection (b) are calculated based on the tax rolls of the central appraisal districts at the time of the issuance of the bonds, notes, and other obligations.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1488 was passed by the House on April 12, 2019, by the following vote:</w:t>
      </w:r>
      <w:r xml:space="preserve">
        <w:t> </w:t>
      </w:r>
      <w:r xml:space="preserve">
        <w:t> </w:t>
      </w:r>
      <w:r>
        <w:t xml:space="preserve">Yeas 132, Nays 11,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1488 was passed by the Senate on May 15, 2019,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