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1495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ethics of certain public officials, including certain disclosure requirements.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This Act shall be cited as the J D Lambright Local Government Ethics Reform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2252.908(b),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This section applies only to a contract of a governmental entity or state agency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requires an action or vote by the governing body of the entity or agency before the contract may be signed;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has a value of at least $1 million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for services that would require a person to register as a lobbyist under Chapter 305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140.0045,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140.0045.</w:t>
      </w:r>
      <w:r xml:space="preserve">
        <w:t> </w:t>
      </w:r>
      <w:r xml:space="preserve">
        <w:t> </w:t>
      </w:r>
      <w:r>
        <w:t xml:space="preserve">ITEMIZATION OF CERTAIN [</w:t>
      </w:r>
      <w:r>
        <w:rPr>
          <w:strike/>
        </w:rPr>
        <w:t xml:space="preserve">PUBLIC NOTICE</w:t>
      </w:r>
      <w:r>
        <w:t xml:space="preserve">] EXPENDITURES REQUIRED IN CERTAIN POLITICAL SUBDIVISION BUDGETS.  (a)  Except as provided by Subsection (b), the proposed budget of a political subdivision must include</w:t>
      </w:r>
      <w:r>
        <w:rPr>
          <w:u w:val="single"/>
        </w:rPr>
        <w:t xml:space="preserve">, in a manner allowing for as clear a comparison as practicable between those expenditures in the proposed budget and actual expenditures for the same purpose in the preceding year,</w:t>
      </w:r>
      <w:r>
        <w:t xml:space="preserve"> a line item indicating expenditures for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notices required by law to be published in a newspaper by the political subdivision or a representative of the political subdivision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directly or indirectly influencing or attempting to influence the outcome of legislation or administrative action, as those terms are defined in Section 305.002, Government Code</w:t>
      </w:r>
      <w:r>
        <w:t xml:space="preserve"> [</w:t>
      </w:r>
      <w:r>
        <w:rPr>
          <w:strike/>
        </w:rPr>
        <w:t xml:space="preserve">that allows as clear a comparison as practicable between those expenditures in the proposed budget and actual expenditures for the same purpose in the preceding year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Subsection (a)(1)</w:t>
      </w:r>
      <w:r>
        <w:t xml:space="preserve"> [</w:t>
      </w:r>
      <w:r>
        <w:rPr>
          <w:strike/>
        </w:rPr>
        <w:t xml:space="preserve">This section</w:t>
      </w:r>
      <w:r>
        <w:t xml:space="preserve">] does not apply to a junior college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161.001,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161.001.</w:t>
      </w:r>
      <w:r xml:space="preserve">
        <w:t> </w:t>
      </w:r>
      <w:r xml:space="preserve">
        <w:t> </w:t>
      </w:r>
      <w:r>
        <w:t xml:space="preserve">APPLICABILITY OF CHAPTER.  This chapter applies only to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a county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>
        <w:t xml:space="preserve">[</w:t>
      </w:r>
      <w:r>
        <w:rPr>
          <w:strike/>
        </w:rPr>
        <w:t xml:space="preserve">(1)</w:t>
      </w:r>
      <w:r>
        <w:t xml:space="preserve">]</w:t>
      </w:r>
      <w:r xml:space="preserve">
        <w:t> </w:t>
      </w:r>
      <w:r xml:space="preserve">
        <w:t> </w:t>
      </w:r>
      <w:r>
        <w:t xml:space="preserve">has a population of 800,000 or more;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 xml:space="preserve">
        <w:t> </w:t>
      </w: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is located on the international border;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 xml:space="preserve">
        <w:t> </w:t>
      </w:r>
      <w:r>
        <w:t xml:space="preserve">[</w:t>
      </w:r>
      <w:r>
        <w:rPr>
          <w:strike/>
        </w:rPr>
        <w:t xml:space="preserve">(3)</w:t>
      </w:r>
      <w:r>
        <w:t xml:space="preserve">]</w:t>
      </w:r>
      <w:r xml:space="preserve">
        <w:t> </w:t>
      </w:r>
      <w:r xml:space="preserve">
        <w:t> </w:t>
      </w:r>
      <w:r>
        <w:t xml:space="preserve">before September 1, 2009, had a county ethics board appointed by the commissioners court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a population of 425,000 or more;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adjacent to a county with a population of 3.3 million or more;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contains a portion of the San Jacinto River;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that has a population of less than 40,000 that is adjacent to a county with a population of more than 3.3 million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161, Local Government Code, is amended by adding Section 161.107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161.107.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DISCLOSURE OF CERTAIN CONTRACTS.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prominently display on the county's Internet website the following regarding contracts for services executed by the county that would require a person to register as a lobbyist under Chapter 305, Government Code: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execution dates;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contract duration terms, including any extension options;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effective dates;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final amount of money the county paid in the previous fiscal year;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identity of all parties to the contract;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identity of all subcontractors in the contract;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legislative agenda of the county.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lieu of displaying the items described by Subsections (a)(1)-(6) regarding a contract for services that would require a person to register as a lobbyist under Chapter 305, Government Code, the commission may post on the county's Internet website the contract executed by the county for those services.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Information required to be displayed on a county's Internet website under this section is public information subject to disclosure under Chapter 552, Government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Chapter 170, Local Government Code, is amended by adding Section 170.002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170.002.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CODE OF ETHICS FOR CERTAIN COMMISSIONERS COURTS.  (a) This section applies to a county that has a population of less than 40,000 that is adjacent to a county with a population of more than 3.3 million.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commissioners court of a county subject to this section may adopt by order a code of ethics that provides standards of conduct for members of the commissioners court.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 commissioners court of a county subject to this section adopts a code of ethics under this section, the code of ethics must require each member of the commissioners court to file a conflicts disclosure statement that is in addition to the statement required by Section 176.003.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7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1495 was passed by the House on May 8, 2019, by the following vote:</w:t>
      </w:r>
      <w:r xml:space="preserve">
        <w:t> </w:t>
      </w:r>
      <w:r xml:space="preserve">
        <w:t> </w:t>
      </w:r>
      <w:r>
        <w:t xml:space="preserve">Yeas 109, Nays 28, 2 present, not voting; that the House refused to concur in Senate amendments to H.B. No. 1495 on May 24, 2019, and requested the appointment of a conference committee to consider the differences between the two houses; and that the House adopted the conference committee report on H.B. No. 1495 on May 26, 2019, by the following vote:</w:t>
      </w:r>
      <w:r xml:space="preserve">
        <w:t> </w:t>
      </w:r>
      <w:r xml:space="preserve">
        <w:t> </w:t>
      </w:r>
      <w:r>
        <w:t xml:space="preserve">Yeas 116, Nays 11, 1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>
      <w:r>
        <w:br w:type="page"/>
      </w:r>
    </w:p>
    <w:p w:rsidR="003F3435" w:rsidRDefault="0032493E">
      <w:pPr>
        <w:spacing w:line="480" w:lineRule="auto"/>
        <w:ind w:firstLine="720"/>
        <w:jc w:val="both"/>
      </w:pPr>
      <w:r>
        <w:t xml:space="preserve">I certify that H.B. No. 1495 was passed by the Senate, with amendments, on May 22, 2019, by the following vote:</w:t>
      </w:r>
      <w:r xml:space="preserve">
        <w:t> </w:t>
      </w:r>
      <w:r xml:space="preserve">
        <w:t> </w:t>
      </w:r>
      <w:r>
        <w:t xml:space="preserve">Yeas 27, Nays 4; at the request of the House, the Senate appointed a conference committee to consider the differences between the two houses; and that the Senate adopted the conference committee report on H.B. No. 1495 on May 26, 2019, by the following vote:</w:t>
      </w:r>
      <w:r xml:space="preserve">
        <w:t> </w:t>
      </w:r>
      <w:r xml:space="preserve">
        <w:t> </w:t>
      </w:r>
      <w:r>
        <w:t xml:space="preserve">Yeas 30, Nays 1.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1495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