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certain counties and to authorizing counties to adopt a code of ethics for their commissioners courts.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cited as the J D Lambright Local Government Ethics Reform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161.001.</w:t>
      </w:r>
      <w:r xml:space="preserve">
        <w:t> </w:t>
      </w:r>
      <w:r xml:space="preserve">
        <w:t> </w:t>
      </w:r>
      <w:r>
        <w:t xml:space="preserve">APPLICABILITY OF CHAPTER.  This chapter applies only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has a population of 800,000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is located on the international border;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before September 1, 2009, had a county ethics board appointed by the commissioners court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425,000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a county with a population of 3.3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portion of the San Jacinto River;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less than 40,000 that is adjacent to a county with a population of more than 3.3 million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161.002(8),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"County public servant" means a person elected, selected, appointed, employed, or otherwise designated as one of the following, even if the person has not yet qualified for or assumed the duties of office: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officer or county employee;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appointed by the commissioners court or a county officer to a position on one of the following, whether the position is compensated or not: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authority, board, bureau, commission, committee, council, department, district, division, or office of the county;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multi-jurisdictional board;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attorney at law or notary public when participating in the performance of a governmental function;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candidate for nomination or election to an elected county office;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(E)</w:t>
      </w:r>
      <w:r>
        <w:t xml:space="preserve">] a person who is performing a governmental function under a claim of right although the person is not legally qualified or authorized to do so.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170, Local Government Code, is amended by adding Section 170.002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CODE OF ETHICS FOR CERTAIN COMMISSIONERS COURTS.  (a) This section applies to a county that has a population of less than 40,000 that is adjacent to a county with a population of more than 3.3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subject to this section may adopt by order a code of ethics that provides standards of conduct for members of the commissioners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commissioners court of a county subject to this section adopts a code of ethics under this section, the code of ethics must require each member of the commissioners court to file a conflicts disclosure statement that is in addition to the statement required by Section 176.003.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