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86R4805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notice requirement regarding possible acts of school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2.296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2.296.</w:t>
      </w:r>
      <w:r>
        <w:rPr>
          <w:u w:val="single"/>
        </w:rPr>
        <w:t xml:space="preserve"> </w:t>
      </w:r>
      <w:r>
        <w:rPr>
          <w:u w:val="single"/>
        </w:rPr>
        <w:t xml:space="preserve"> </w:t>
      </w:r>
      <w:r>
        <w:rPr>
          <w:u w:val="single"/>
        </w:rPr>
        <w:t xml:space="preserve">NOTICE REGARDING POSSIBLE SCHOOL VIOLENCE.  (a) In this article, "school violence" means any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violence that may result in death or serious bodily injury to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occurs at a primary or secondary school.</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officer who receives a report or finds evidence that suggests a person may be contemplating committing an act of school violence at a public school in this state shall, as soon as practicable, deliver written notice of the threat to the superintendent of the affected school or a person designated by the superintendent.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superintendent or person designated by the superintendent shall, on receiving notice under this article, notify appropriate instructional and support personnel.  All personnel shall keep the information received under this article confidential.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