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86R3437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1502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Lower Colorado River Authority, following recommendations of the Sunset Advisory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8503, Special District Local Laws Code, is amended by adding Sections 8503.0065, 8503.0105, 8503.0106, 8503.0107, and 8503.0108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8503.0065.</w:t>
      </w:r>
      <w:r>
        <w:rPr>
          <w:u w:val="single"/>
        </w:rPr>
        <w:t xml:space="preserve"> </w:t>
      </w:r>
      <w:r>
        <w:rPr>
          <w:u w:val="single"/>
        </w:rPr>
        <w:t xml:space="preserve"> </w:t>
      </w:r>
      <w:r>
        <w:rPr>
          <w:u w:val="single"/>
        </w:rPr>
        <w:t xml:space="preserve">DIRECTOR TRAINING.  (a)  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authority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disclosure of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authority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authority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has received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8503.0105.</w:t>
      </w:r>
      <w:r>
        <w:rPr>
          <w:u w:val="single"/>
        </w:rPr>
        <w:t xml:space="preserve"> </w:t>
      </w:r>
      <w:r>
        <w:rPr>
          <w:u w:val="single"/>
        </w:rPr>
        <w:t xml:space="preserve"> </w:t>
      </w:r>
      <w:r>
        <w:rPr>
          <w:u w:val="single"/>
        </w:rPr>
        <w:t xml:space="preserve">PUBLIC ENGAGEMENT POLICY.  The board shall develop and implement a policy that provides a structure for public engagement in regard to water supply projects.  The policy must include a clear and detailed description of how the authority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8503.0106.</w:t>
      </w:r>
      <w:r>
        <w:rPr>
          <w:u w:val="single"/>
        </w:rPr>
        <w:t xml:space="preserve"> </w:t>
      </w:r>
      <w:r>
        <w:rPr>
          <w:u w:val="single"/>
        </w:rPr>
        <w:t xml:space="preserve"> </w:t>
      </w:r>
      <w:r>
        <w:rPr>
          <w:u w:val="single"/>
        </w:rPr>
        <w:t xml:space="preserve">COMPLAINTS.  (a)  The authority shall maintain a system to promptly and efficiently act on complaints filed with the authority.  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shall make information available to the public, including on the authority's website,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shall periodically notify the complaint parties of the status of the complaint until final disposition.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authority shall develop a standard form and a procedure for submitting complaints to the authority and shall make that form and procedure available on the authority's website.  The authority shall also make available on its website clear information about what a person making a complaint should expect after the complaint is filed, including timelines for response and resolution.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8503.0107.</w:t>
      </w:r>
      <w:r>
        <w:rPr>
          <w:u w:val="single"/>
        </w:rPr>
        <w:t xml:space="preserve"> </w:t>
      </w:r>
      <w:r>
        <w:rPr>
          <w:u w:val="single"/>
        </w:rPr>
        <w:t xml:space="preserve"> </w:t>
      </w:r>
      <w:r>
        <w:rPr>
          <w:u w:val="single"/>
        </w:rPr>
        <w:t xml:space="preserve">PUBLIC TESTIMONY.  (a)  In this section, "committee-of-the-whole" means a committee of the board in which every director is a member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each regular meeting of the board and each meeting as a committee-of-the-whole, the board shall include public testimony as a meeting agenda item and allow members of the public to comment on every agenda item and other matters under the jurisdiction of the authority.  The board may not deliberate or decide a matter not included in the meeting agenda except to discuss including the matter on the agenda for a subsequent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8503.0108.</w:t>
      </w:r>
      <w:r>
        <w:rPr>
          <w:u w:val="single"/>
        </w:rPr>
        <w:t xml:space="preserve"> </w:t>
      </w:r>
      <w:r>
        <w:rPr>
          <w:u w:val="single"/>
        </w:rPr>
        <w:t xml:space="preserve"> </w:t>
      </w:r>
      <w:r>
        <w:rPr>
          <w:u w:val="single"/>
        </w:rPr>
        <w:t xml:space="preserve">ALTERNATIVE RULEMAKING AND DISPUTE RESOLUTION PROCEDURES.  (a)  The board shall develop a policy to encourage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negotiated rulemaking procedures under Chapter 2008, Government Code, for the adoption of authority rules;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alternative dispute resolution procedures under Chapter 2009, Government Code, to assist in the resolution of internal and external disputes under the authority's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the implementation of the policy adopted under Subsection (a)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as needed to implement the procedures for negotiated rulemaking or 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data concerning the effectiveness of those procedures.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8503.0065, Special District Local Laws Code, as added by this Act, a person serving on the board of directors of the Lower Colorado River Authority may vote, deliberate, and be counted as a director in attendance at a meeting of the board until December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