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recording of a criminal offense of transporting household goods without registration in a driving record.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643.253, Transportation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soon as practicable after the date a person is convicted of an offense under Subsection (b), the convicting court shall notify the Department of Public Safety of the conviction. </w:t>
      </w:r>
      <w:r>
        <w:rPr>
          <w:u w:val="single"/>
        </w:rPr>
        <w:t xml:space="preserve"> </w:t>
      </w:r>
      <w:r>
        <w:rPr>
          <w:u w:val="single"/>
        </w:rPr>
        <w:t xml:space="preserve">The notice must be in a form prescribed by the Department of Public Safety and must contain the person's driver's license number.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conviction under Subsection (b) shall be recorded in the person's driving record maintained by the Department of Public Safety.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1505 was passed by the House on May 3, 2019, by the following vote:</w:t>
      </w:r>
      <w:r xml:space="preserve">
        <w:t> </w:t>
      </w:r>
      <w:r xml:space="preserve">
        <w:t> </w:t>
      </w:r>
      <w:r>
        <w:t xml:space="preserve">Yeas 136, Nays 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1505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