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86R8537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1511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coverage for eating disorders under group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1355.001, Insurance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"Eating disorder"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eating disorder described by the Diagnostic and Statistical Manual of Mental Disorders, fifth edition, or a later edition adopted by the commissioner by rule,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anorexia nervosa;</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bulimia nervosa;</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binge eating disorder;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rumination disorder;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avoidant/restrictive food intake disorder;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any eating disorder not otherwise specified;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eating disorder contained in a subsequent edition of the Diagnostic and Statistical Manual of Mental Disorders published by the American Psychiatric Association and adopted by the commissioner by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1355, Insurance Code, is amended by adding Section 1355.008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1355.008.</w:t>
      </w:r>
      <w:r>
        <w:rPr>
          <w:u w:val="single"/>
        </w:rPr>
        <w:t xml:space="preserve"> </w:t>
      </w:r>
      <w:r>
        <w:rPr>
          <w:u w:val="single"/>
        </w:rPr>
        <w:t xml:space="preserve"> </w:t>
      </w:r>
      <w:r>
        <w:rPr>
          <w:u w:val="single"/>
        </w:rPr>
        <w:t xml:space="preserve">REQUIRED COVERAGE FOR EATING DISORDERS. </w:t>
      </w:r>
      <w:r>
        <w:rPr>
          <w:u w:val="single"/>
        </w:rPr>
        <w:t xml:space="preserve"> </w:t>
      </w:r>
      <w:r>
        <w:rPr>
          <w:u w:val="single"/>
        </w:rPr>
        <w:t xml:space="preserve">(a) </w:t>
      </w:r>
      <w:r>
        <w:rPr>
          <w:u w:val="single"/>
        </w:rPr>
        <w:t xml:space="preserve"> </w:t>
      </w:r>
      <w:r>
        <w:rPr>
          <w:u w:val="single"/>
        </w:rPr>
        <w:t xml:space="preserve">A group health benefit plan must provide coverage, based on medical necessity, for the diagnosis and treatment of an eating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Coverage required under Subsection (a) is limited to a service or medication, to the extent the service or medication is covered by the group health benefit plan, ordered by a licensed physician, psychiatrist, psychologist, or therapist within the scope of the practitioner's license and in accordance with a treatment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from the group health benefit plan issuer, an eating disorder treatment plan must include all elements necessary for the issuer to pay a claim under the group health benefit plan, which may include a diagnosis, goals, and proposed treatment by type, frequency, and duration.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required under Subsection (a) is not subject to a limit on the number of days of medically necessary treatment except as provided by the treatment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group health benefit plan issuer may conduct a utilization review of an eating disorder treatment plan not more than once each six months unless the physician, psychiatrist, psychologist, or therapist treating the enrollee under the treatment plan agrees that a more frequent review is necessary.  An agreement to conduct more frequent reviews under this subsection applies only to the enrollee who is the subject of the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group health benefit plan issuer shall pay any costs of conducting a utilization review of coverage required under Subsection (a) or obtaining a treatment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conducting a utilization review of treatment for an eating disorder, including review of medical necessity or the treatment plan, a utilization review agent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overall medical and mental health needs of the individual with the eating disorder;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factors in addition to weight;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most recent Practice Guideline for the Treatment of Patients with Eating Disorders adopted by the American Psychiatric Association.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group health benefit plan delivered, issued for delivery, or renewed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