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86R7641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Nevárez</w:t>
      </w:r>
      <w:r xml:space="preserve">
        <w:tab wTab="150" tlc="none" cTlc="0"/>
      </w:r>
      <w:r>
        <w:t xml:space="preserve">H.B.</w:t>
      </w:r>
      <w:r xml:space="preserve">
        <w:t> </w:t>
      </w:r>
      <w:r>
        <w:t xml:space="preserve">No.</w:t>
      </w:r>
      <w:r xml:space="preserve">
        <w:t> </w:t>
      </w:r>
      <w:r>
        <w:t xml:space="preserve">1515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State Office of Risk Management.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412, Labor Code, is amended by adding Section 412.013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412.013.</w:t>
      </w:r>
      <w:r>
        <w:rPr>
          <w:u w:val="single"/>
        </w:rPr>
        <w:t xml:space="preserve"> </w:t>
      </w:r>
      <w:r>
        <w:rPr>
          <w:u w:val="single"/>
        </w:rPr>
        <w:t xml:space="preserve"> </w:t>
      </w:r>
      <w:r>
        <w:rPr>
          <w:u w:val="single"/>
        </w:rPr>
        <w:t xml:space="preserve">REVIEW AND UPDATE OF RISK MANAGEMENT PROGRAM GUIDELINES.  (a)  In administering the guidelines for a comprehensive risk management program under Section 412.011(b)(4), the office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biennially review the guidelines to determine whether they are appropriate and current;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every five years, update the guidelines to be consistent with up-to-date industry best practices and current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updating the guidelines under Subsection (a)(2), the office must solicit feedback from state entities concerning topics for inclusion in the guidelines and ways for making the guidelines more user-friendly.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412.021(f), Labor Code, is amended to read as follows:</w:t>
      </w:r>
    </w:p>
    <w:p w:rsidR="003F3435" w:rsidRDefault="0032493E">
      <w:pPr>
        <w:spacing w:line="480" w:lineRule="auto"/>
        <w:ind w:firstLine="720"/>
        <w:jc w:val="both"/>
      </w:pPr>
      <w:r>
        <w:t xml:space="preserve">(f)</w:t>
      </w:r>
      <w:r xml:space="preserve">
        <w:t> </w:t>
      </w:r>
      <w:r xml:space="preserve">
        <w:t> </w:t>
      </w:r>
      <w:r>
        <w:t xml:space="preserve">The risk management board and the office are subject to Chapter 325, Government Code (Texas Sunset Act).  Unless continued in existence as provided by that chapter, the board is abolished and this section expires September 1, </w:t>
      </w:r>
      <w:r>
        <w:rPr>
          <w:u w:val="single"/>
        </w:rPr>
        <w:t xml:space="preserve">2031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412.022, Labor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rPr>
          <w:strike/>
        </w:rPr>
        <w:t xml:space="preserve">A</w:t>
      </w:r>
      <w:r>
        <w:t xml:space="preserve">] training program [</w:t>
      </w:r>
      <w:r>
        <w:rPr>
          <w:strike/>
        </w:rPr>
        <w:t xml:space="preserve">established under this section</w:t>
      </w:r>
      <w:r>
        <w:t xml:space="preserve">] must provide </w:t>
      </w:r>
      <w:r>
        <w:rPr>
          <w:u w:val="single"/>
        </w:rPr>
        <w:t xml:space="preserve">the board member with</w:t>
      </w:r>
      <w:r>
        <w:t xml:space="preserve"> information [</w:t>
      </w:r>
      <w:r>
        <w:rPr>
          <w:strike/>
        </w:rPr>
        <w:t xml:space="preserve">to the member</w:t>
      </w:r>
      <w:r>
        <w:t xml:space="preserve">] regarding: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law governing</w:t>
      </w:r>
      <w:r>
        <w:t xml:space="preserve"> [</w:t>
      </w:r>
      <w:r>
        <w:rPr>
          <w:strike/>
        </w:rPr>
        <w:t xml:space="preserve">enabling legislation that created the office and</w:t>
      </w:r>
      <w:r>
        <w:t xml:space="preserve">] the office's </w:t>
      </w:r>
      <w:r>
        <w:rPr>
          <w:u w:val="single"/>
        </w:rPr>
        <w:t xml:space="preserve">operations;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w:t>
      </w:r>
      <w:r>
        <w:t xml:space="preserve"> programs, functions, rules, and budget </w:t>
      </w:r>
      <w:r>
        <w:rPr>
          <w:u w:val="single"/>
        </w:rPr>
        <w:t xml:space="preserve">of the office;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scope of and limitations on the rulemaking authority of the board</w:t>
      </w:r>
      <w:r>
        <w:t xml:space="preserve">;</w:t>
      </w:r>
    </w:p>
    <w:p w:rsidR="003F3435" w:rsidRDefault="0032493E">
      <w:pPr>
        <w:spacing w:line="480" w:lineRule="auto"/>
        <w:ind w:firstLine="1440"/>
        <w:jc w:val="both"/>
      </w:pPr>
      <w:r>
        <w:rPr>
          <w:u w:val="single"/>
        </w:rPr>
        <w:t xml:space="preserve">(4)</w:t>
      </w:r>
      <w:r xml:space="preserve">
        <w:t> </w:t>
      </w:r>
      <w:r>
        <w:t xml:space="preserve">[</w:t>
      </w:r>
      <w:r>
        <w:rPr>
          <w:strike/>
        </w:rPr>
        <w:t xml:space="preserve">(2)</w:t>
      </w:r>
      <w:r>
        <w:t xml:space="preserve">]</w:t>
      </w:r>
      <w:r xml:space="preserve">
        <w:t> </w:t>
      </w:r>
      <w:r xml:space="preserve">
        <w:t> </w:t>
      </w:r>
      <w:r>
        <w:t xml:space="preserve">the results of the most recent formal audit of the office;</w:t>
      </w:r>
    </w:p>
    <w:p w:rsidR="003F3435" w:rsidRDefault="0032493E">
      <w:pPr>
        <w:spacing w:line="480" w:lineRule="auto"/>
        <w:ind w:firstLine="1440"/>
        <w:jc w:val="both"/>
      </w:pPr>
      <w:r>
        <w:rPr>
          <w:u w:val="single"/>
        </w:rPr>
        <w:t xml:space="preserve">(5)</w:t>
      </w:r>
      <w:r xml:space="preserve">
        <w:t> </w:t>
      </w:r>
      <w:r>
        <w:t xml:space="preserve">[</w:t>
      </w:r>
      <w:r>
        <w:rPr>
          <w:strike/>
        </w:rPr>
        <w:t xml:space="preserve">(3)</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disclosing</w:t>
      </w:r>
      <w:r>
        <w:t xml:space="preserve">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a state policymaking body in performing their duties; and</w:t>
      </w:r>
    </w:p>
    <w:p w:rsidR="003F3435" w:rsidRDefault="0032493E">
      <w:pPr>
        <w:spacing w:line="480" w:lineRule="auto"/>
        <w:ind w:firstLine="1440"/>
        <w:jc w:val="both"/>
      </w:pPr>
      <w:r>
        <w:rPr>
          <w:u w:val="single"/>
        </w:rPr>
        <w:t xml:space="preserve">(6)</w:t>
      </w:r>
      <w:r xml:space="preserve">
        <w:t> </w:t>
      </w:r>
      <w:r>
        <w:t xml:space="preserve">[</w:t>
      </w:r>
      <w:r>
        <w:rPr>
          <w:strike/>
        </w:rPr>
        <w:t xml:space="preserve">(4)</w:t>
      </w:r>
      <w:r>
        <w:t xml:space="preserve">]</w:t>
      </w:r>
      <w:r xml:space="preserve">
        <w:t> </w:t>
      </w:r>
      <w:r xml:space="preserve">
        <w:t> </w:t>
      </w:r>
      <w:r>
        <w:t xml:space="preserve">any applicable ethics policies adopted by the office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director of the office shall create a training manual that includes the information required by Subsection (b).  The director shall distribute a copy of the training manual annually to each member of the board.  Each member of the board shall sign and submit to the director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412.053(b), Labor Code, is amended to read as follows:</w:t>
      </w:r>
    </w:p>
    <w:p w:rsidR="003F3435" w:rsidRDefault="0032493E">
      <w:pPr>
        <w:spacing w:line="480" w:lineRule="auto"/>
        <w:ind w:firstLine="720"/>
        <w:jc w:val="both"/>
      </w:pPr>
      <w:r>
        <w:t xml:space="preserve">(b)</w:t>
      </w:r>
      <w:r xml:space="preserve">
        <w:t> </w:t>
      </w:r>
      <w:r xml:space="preserve">
        <w:t> </w:t>
      </w:r>
      <w:r>
        <w:t xml:space="preserve">The information shall be reported not later than the 60th day </w:t>
      </w:r>
      <w:r>
        <w:rPr>
          <w:u w:val="single"/>
        </w:rPr>
        <w:t xml:space="preserve">after</w:t>
      </w:r>
      <w:r>
        <w:t xml:space="preserve"> [</w:t>
      </w:r>
      <w:r>
        <w:rPr>
          <w:strike/>
        </w:rPr>
        <w:t xml:space="preserve">before</w:t>
      </w:r>
      <w:r>
        <w:t xml:space="preserve">] the last day of each fiscal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Notwithstanding the time periods prescribed by Section 412.013, Labor Code, as added by this Act, the State Office of Risk Management shall review and update the guidelines adopted by the risk management board under Section 412.011(b)(4), Labor Code, not later than September 1, 2020.</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Except as provided by Subsection (b) of this section, Section 412.022, Labor Code, as amended by this Act, applies to a member of the risk management board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risk management board who, before the effective date of this Act, completed the training program required by Section 412.022, Labor Code, as that law existed before the effective date of this Act, is required to complete additional training only on subjects added by this Act to the training program as required by Section 412.022, Labor Code, as amended by this Act.  A board member described by this subsection may not vote, deliberate, or be counted as a member in attendance at a meeting of the board held on or after December 1, 2019, until the member completes the additional training.</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