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86R7646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employee's liability for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21.002(13), Labor Code, is amended to read as follows:</w:t>
      </w:r>
    </w:p>
    <w:p w:rsidR="003F3435" w:rsidRDefault="0032493E">
      <w:pPr>
        <w:spacing w:line="480" w:lineRule="auto"/>
        <w:ind w:firstLine="1440"/>
        <w:jc w:val="both"/>
      </w:pPr>
      <w:r>
        <w:t xml:space="preserve">(13)</w:t>
      </w:r>
      <w:r xml:space="preserve">
        <w:t> </w:t>
      </w:r>
      <w:r xml:space="preserve">
        <w:t> </w:t>
      </w:r>
      <w:r>
        <w:t xml:space="preserve">"Respondent" means the person charged in a complaint filed under this chapter and may include an employer, </w:t>
      </w:r>
      <w:r>
        <w:rPr>
          <w:u w:val="single"/>
        </w:rPr>
        <w:t xml:space="preserve">employee,</w:t>
      </w:r>
      <w:r>
        <w:t xml:space="preserve"> employment agency, labor organization, or joint labor-management committee that controls an apprenticeship or other training or retraining program, including an on-the-job training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Labor Code, is amended by adding Section 21.062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21.062.</w:t>
      </w:r>
      <w:r>
        <w:rPr>
          <w:u w:val="single"/>
        </w:rPr>
        <w:t xml:space="preserve"> </w:t>
      </w:r>
      <w:r>
        <w:rPr>
          <w:u w:val="single"/>
        </w:rPr>
        <w:t xml:space="preserve"> </w:t>
      </w:r>
      <w:r>
        <w:rPr>
          <w:u w:val="single"/>
        </w:rPr>
        <w:t xml:space="preserve">DISCRIMINATION BY EMPLOYEE.  (a)  In this section, "sexual harassment" means an unwelcome sexual advance, a request for a sexual favor, or any other verbal or physical conduct of a sexual nature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commits an unlawful employment practice if the employee engages in sexual harassment of another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21.2585, Labor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(f), the</w:t>
      </w:r>
      <w:r>
        <w:t xml:space="preserve"> [</w:t>
      </w:r>
      <w:r>
        <w:rPr>
          <w:strike/>
        </w:rPr>
        <w:t xml:space="preserve">The</w:t>
      </w:r>
      <w:r>
        <w:t xml:space="preserve">] sum of the amount of compensatory damages awarded under this section for future pecuniary losses, emotional pain, suffering, inconvenience, mental anguish, loss of enjoyment of life, and other nonpecuniary losses and the amount of punitive damages awarded under this section may not exceed, for each complainant:</w:t>
      </w:r>
    </w:p>
    <w:p w:rsidR="003F3435" w:rsidRDefault="0032493E">
      <w:pPr>
        <w:spacing w:line="480" w:lineRule="auto"/>
        <w:ind w:firstLine="1440"/>
        <w:jc w:val="both"/>
      </w:pPr>
      <w:r>
        <w:t xml:space="preserve">(1)</w:t>
      </w:r>
      <w:r xml:space="preserve">
        <w:t> </w:t>
      </w:r>
      <w:r xml:space="preserve">
        <w:t> </w:t>
      </w:r>
      <w:r>
        <w:t xml:space="preserve">$50,000 in the case of a respondent that has fewer than 101 employees;</w:t>
      </w:r>
    </w:p>
    <w:p w:rsidR="003F3435" w:rsidRDefault="0032493E">
      <w:pPr>
        <w:spacing w:line="480" w:lineRule="auto"/>
        <w:ind w:firstLine="1440"/>
        <w:jc w:val="both"/>
      </w:pPr>
      <w:r>
        <w:t xml:space="preserve">(2)</w:t>
      </w:r>
      <w:r xml:space="preserve">
        <w:t> </w:t>
      </w:r>
      <w:r xml:space="preserve">
        <w:t> </w:t>
      </w:r>
      <w:r>
        <w:t xml:space="preserve">$100,000 in the case of a respondent that has more than 100 and fewer than 201 employees;</w:t>
      </w:r>
    </w:p>
    <w:p w:rsidR="003F3435" w:rsidRDefault="0032493E">
      <w:pPr>
        <w:spacing w:line="480" w:lineRule="auto"/>
        <w:ind w:firstLine="1440"/>
        <w:jc w:val="both"/>
      </w:pPr>
      <w:r>
        <w:t xml:space="preserve">(3)</w:t>
      </w:r>
      <w:r xml:space="preserve">
        <w:t> </w:t>
      </w:r>
      <w:r xml:space="preserve">
        <w:t> </w:t>
      </w:r>
      <w:r>
        <w:t xml:space="preserve">$200,000 in the case of a respondent that has more than 200 and fewer than 501 employees; and</w:t>
      </w:r>
    </w:p>
    <w:p w:rsidR="003F3435" w:rsidRDefault="0032493E">
      <w:pPr>
        <w:spacing w:line="480" w:lineRule="auto"/>
        <w:ind w:firstLine="1440"/>
        <w:jc w:val="both"/>
      </w:pPr>
      <w:r>
        <w:t xml:space="preserve">(4)</w:t>
      </w:r>
      <w:r xml:space="preserve">
        <w:t> </w:t>
      </w:r>
      <w:r xml:space="preserve">
        <w:t> </w:t>
      </w:r>
      <w:r>
        <w:t xml:space="preserve">$300,000 in the case of a respondent that has more than 500 employees.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(d) does not apply to damages awarded against an employee.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