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86R8343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Meyer, Ramos, Anchia</w:t>
      </w:r>
      <w:r xml:space="preserve">
        <w:tab wTab="150" tlc="none" cTlc="0"/>
      </w:r>
      <w:r>
        <w:t xml:space="preserve">H.B.</w:t>
      </w:r>
      <w:r xml:space="preserve">
        <w:t> </w:t>
      </w:r>
      <w:r>
        <w:t xml:space="preserve">No.</w:t>
      </w:r>
      <w:r xml:space="preserve">
        <w:t> </w:t>
      </w:r>
      <w:r>
        <w:t xml:space="preserve">1528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information involving family violence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66.102(f),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Information in the computerized criminal history system relating to sentencing must include for each sentence:</w:t>
      </w:r>
    </w:p>
    <w:p w:rsidR="003F3435" w:rsidRDefault="0032493E">
      <w:pPr>
        <w:spacing w:line="480" w:lineRule="auto"/>
        <w:ind w:firstLine="1440"/>
        <w:jc w:val="both"/>
      </w:pPr>
      <w:r>
        <w:t xml:space="preserve">(1)</w:t>
      </w:r>
      <w:r xml:space="preserve">
        <w:t> </w:t>
      </w:r>
      <w:r xml:space="preserve">
        <w:t> </w:t>
      </w:r>
      <w:r>
        <w:t xml:space="preserve">the sentencing date;</w:t>
      </w:r>
    </w:p>
    <w:p w:rsidR="003F3435" w:rsidRDefault="0032493E">
      <w:pPr>
        <w:spacing w:line="480" w:lineRule="auto"/>
        <w:ind w:firstLine="1440"/>
        <w:jc w:val="both"/>
      </w:pPr>
      <w:r>
        <w:t xml:space="preserve">(2)</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(3)</w:t>
      </w:r>
      <w:r xml:space="preserve">
        <w:t> </w:t>
      </w:r>
      <w:r xml:space="preserve">
        <w:t> </w:t>
      </w:r>
      <w:r>
        <w:t xml:space="preserve">if the offender was sentenced to confinement:</w:t>
      </w:r>
    </w:p>
    <w:p w:rsidR="003F3435" w:rsidRDefault="0032493E">
      <w:pPr>
        <w:spacing w:line="480" w:lineRule="auto"/>
        <w:ind w:firstLine="2160"/>
        <w:jc w:val="both"/>
      </w:pPr>
      <w:r>
        <w:t xml:space="preserve">(A)</w:t>
      </w:r>
      <w:r xml:space="preserve">
        <w:t> </w:t>
      </w:r>
      <w:r xml:space="preserve">
        <w:t> </w:t>
      </w:r>
      <w:r>
        <w:t xml:space="preserve">the agency that receives custody of the offender;</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w:t>
      </w:r>
    </w:p>
    <w:p w:rsidR="003F3435" w:rsidRDefault="0032493E">
      <w:pPr>
        <w:spacing w:line="480" w:lineRule="auto"/>
        <w:ind w:firstLine="1440"/>
        <w:jc w:val="both"/>
      </w:pPr>
      <w:r>
        <w:t xml:space="preserve">(4)</w:t>
      </w:r>
      <w:r xml:space="preserve">
        <w:t> </w:t>
      </w:r>
      <w:r xml:space="preserve">
        <w:t> </w:t>
      </w:r>
      <w:r>
        <w:t xml:space="preserve">if the offender was sentenced to pay a fine, the amount of the fine;</w:t>
      </w:r>
    </w:p>
    <w:p w:rsidR="003F3435" w:rsidRDefault="0032493E">
      <w:pPr>
        <w:spacing w:line="480" w:lineRule="auto"/>
        <w:ind w:firstLine="1440"/>
        <w:jc w:val="both"/>
      </w:pPr>
      <w:r>
        <w:t xml:space="preserve">(5)</w:t>
      </w:r>
      <w:r xml:space="preserve">
        <w:t> </w:t>
      </w:r>
      <w:r xml:space="preserve">
        <w:t> </w:t>
      </w:r>
      <w:r>
        <w:t xml:space="preserve">if a sentence to pay a fine or to confinement was ordered but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length of the sentence or the amount of the fine that was deferred, probated, suspended, or otherwise not imposed; and</w:t>
      </w:r>
    </w:p>
    <w:p w:rsidR="003F3435" w:rsidRDefault="0032493E">
      <w:pPr>
        <w:spacing w:line="480" w:lineRule="auto"/>
        <w:ind w:firstLine="2160"/>
        <w:jc w:val="both"/>
      </w:pPr>
      <w:r>
        <w:t xml:space="preserve">(B)</w:t>
      </w:r>
      <w:r xml:space="preserve">
        <w:t> </w:t>
      </w:r>
      <w:r xml:space="preserve">
        <w:t> </w:t>
      </w:r>
      <w:r>
        <w:t xml:space="preserve">the offender's name, offense code, and incident number;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if a sentence other than a fine or confinement was ordered, a description of the sentence ordered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judgment imposing the sentence reflects an affirmative finding entered under Article 42.013 (Finding of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66.252, Code of Criminal Procedure,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The arresting law enforcement agency shall prepare a uniform incident fingerprint card described by Article 66.251 and initiate the reporting process for each offender charged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a misdemeanor </w:t>
      </w:r>
      <w:r>
        <w:rPr>
          <w:u w:val="single"/>
        </w:rPr>
        <w:t xml:space="preserve">for which a term of confinement may be imposed;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misdemeanor punishable by fine only that involves family violence, as defined by Section 71.004, Family Code</w:t>
      </w:r>
      <w:r>
        <w:t xml:space="preserve"> </w:t>
      </w:r>
      <w:r>
        <w:t xml:space="preserve">[</w:t>
      </w:r>
      <w:r>
        <w:rPr>
          <w:strike/>
        </w:rPr>
        <w:t xml:space="preserve">other than a misdemeanor punishable by fine only</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66.251 or an electronic methodology approved by 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