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86R8343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1528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involving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