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et al.</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1528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2019; May</w:t>
      </w:r>
      <w:r xml:space="preserve">
        <w:t> </w:t>
      </w:r>
      <w:r>
        <w:t xml:space="preserve">7,</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reporting of certain information involving family violence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66.102(f),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judgment imposing the sentence reflects an affirmative finding entered under Article 42.013 (Finding of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66.252, Code of Criminal Procedure,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66.251 and initiate the reporting process for each offender charged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a misdemeanor </w:t>
      </w:r>
      <w:r>
        <w:rPr>
          <w:u w:val="single"/>
        </w:rPr>
        <w:t xml:space="preserve">for which a term of confinement may be imposed;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misdemeanor punishable by fine only that involves family violence, as defined by Section 71.004, Family Code</w:t>
      </w:r>
      <w:r>
        <w:t xml:space="preserve"> </w:t>
      </w:r>
      <w:r>
        <w:t xml:space="preserve">[</w:t>
      </w:r>
      <w:r>
        <w:rPr>
          <w:strike/>
        </w:rPr>
        <w:t xml:space="preserve">other than a misdemeanor punishable by fine only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