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health organizations certified by the Texas Medical Board;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162.003, Occupations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REFUSAL TO CERTIFY; REVOCATION; PENALTY.</w:t>
      </w:r>
      <w:r xml:space="preserve">
        <w:t> </w:t>
      </w:r>
      <w:r xml:space="preserve">
        <w:t> </w:t>
      </w:r>
      <w:r>
        <w:t xml:space="preserve">On a determination that a health organization </w:t>
      </w:r>
      <w:r>
        <w:rPr>
          <w:u w:val="single"/>
        </w:rPr>
        <w:t xml:space="preserve">commits a violation of this subtitle or</w:t>
      </w:r>
      <w:r>
        <w:t xml:space="preserve">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162.001;</w:t>
      </w:r>
    </w:p>
    <w:p w:rsidR="003F3435" w:rsidRDefault="0032493E">
      <w:pPr>
        <w:spacing w:line="480" w:lineRule="auto"/>
        <w:ind w:firstLine="1440"/>
        <w:jc w:val="both"/>
      </w:pPr>
      <w:r>
        <w:t xml:space="preserve">(2)</w:t>
      </w:r>
      <w:r xml:space="preserve">
        <w:t> </w:t>
      </w:r>
      <w:r xml:space="preserve">
        <w:t> </w:t>
      </w:r>
      <w:r>
        <w:t xml:space="preserve">revoke a certification made under Section 162.001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A, Chapter 165.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162, Occupations Code, is amended by adding Sections 162.004 and 162.005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PROCEDURES FOR AND DISPOSITION OF COMPLAINTS AGAINST NONPROFIT HEALTH CORPORATIONS.  (a) </w:t>
      </w:r>
      <w:r>
        <w:rPr>
          <w:u w:val="single"/>
        </w:rPr>
        <w:t xml:space="preserve"> </w:t>
      </w:r>
      <w:r>
        <w:rPr>
          <w:u w:val="single"/>
        </w:rPr>
        <w:t xml:space="preserve">The board shall accept and process complaints against a health organization certified under Section 162.001(b) for alleged violations of this subchapter or any other provision of this subtitle applicable to a health organization in the same manner as provided under Subchapter B, Chapter 154, and the rules adopted under that subchapter, including the requirements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system to promptly and efficiently act on complaints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162.001(b) is privileged and confidential and is not subject to discovery, subpoena, or other means of legal compulsion for release to anyone other than the board or the board's employees or agents involved in the investigation or discipline of a health organization certified under Section 162.001(b).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dispose of a complaint or resolve the investigation of a complaint under this section in a manner provided under Subchapter A, Chapter 164, to the extent the board determines the provisions of that subchapter can be made applicable to a health organization certified under Section 162.001.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RETALIATION PROHIBITED. </w:t>
      </w:r>
      <w:r>
        <w:rPr>
          <w:u w:val="single"/>
        </w:rPr>
        <w:t xml:space="preserve"> </w:t>
      </w:r>
      <w:r>
        <w:rPr>
          <w:u w:val="single"/>
        </w:rPr>
        <w:t xml:space="preserve">(a) </w:t>
      </w:r>
      <w:r>
        <w:rPr>
          <w:u w:val="single"/>
        </w:rPr>
        <w:t xml:space="preserve"> </w:t>
      </w:r>
      <w:r>
        <w:rPr>
          <w:u w:val="single"/>
        </w:rPr>
        <w:t xml:space="preserve">In this section, "nonprofit health corporation" means a health organization certified under Section 162.001(b).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health corporation may not, as applicable, terminate, demote, retaliate against, discipline, discriminate against, or otherwise penalize a person, a person's family member, or a person's partner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files a complaint under Section 162.004;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reports in good faith an act or omission that the person reasonably believes is a violation or attempted violation of applicable state or federal law, including rules adopted under state or federal law, to,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nonprofit health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regulatory agency;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law enforcement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initiates or cooperates in an investigation or proceeding of a regulatory agency or law enforcement authority relating to care or services provided by, or policies of, the nonprofit health corporation;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communicates to a patient information regarding medically appropriate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nonprofit health corporation may not prohibit, restrict, or discourage a person from taking any action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makes a report under Subsection (b)(2) is immune from civil liability for a report made in good faith.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employment contract between a nonprofit health corporation and a physician must contain a provision requiring the nonprofit health corporation to comply with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Occupations Code, as amended by this Act, and Section 162.004, Occupations Code, as added by this Act, apply only to a violation by a health organization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162.005, Occupations Code, as added by this Act, applies only to an adverse action that is taken by a nonprofit health corporation on or after the effective date of this Act.  An adverse action taken before the effective date of this Act is governed by the law in effect on the date the adverse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162.005(e), Occupations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