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1543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30,</w:t>
      </w:r>
      <w:r xml:space="preserve">
        <w:t> </w:t>
      </w:r>
      <w:r>
        <w:t xml:space="preserve">2019; May</w:t>
      </w:r>
      <w:r xml:space="preserve">
        <w:t> </w:t>
      </w:r>
      <w:r>
        <w:t xml:space="preserve">6,</w:t>
      </w:r>
      <w:r xml:space="preserve">
        <w:t> </w:t>
      </w:r>
      <w:r>
        <w:t xml:space="preserve">2019, read first time and referred to Committee on Transportation; May</w:t>
      </w:r>
      <w:r xml:space="preserve">
        <w:t> </w:t>
      </w:r>
      <w:r>
        <w:t xml:space="preserve">15,</w:t>
      </w:r>
      <w:r xml:space="preserve">
        <w:t> </w:t>
      </w:r>
      <w:r>
        <w:t xml:space="preserve">2019, reported favorably by the following vote:</w:t>
      </w:r>
      <w:r>
        <w:t xml:space="preserve"> </w:t>
      </w:r>
      <w:r>
        <w:t xml:space="preserve"> </w:t>
      </w:r>
      <w:r>
        <w:t xml:space="preserve">Yeas 8,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methods to enhance the enforcement of the collection of the use tax due on certain off-highway vehicles purchased outside this state;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151, Tax Code, is amended by adding Subchapter I-2 to read as follows:</w:t>
      </w:r>
    </w:p>
    <w:p w:rsidR="003F3435" w:rsidRDefault="0032493E">
      <w:pPr>
        <w:spacing w:line="480" w:lineRule="auto"/>
        <w:jc w:val="center"/>
      </w:pPr>
      <w:r>
        <w:rPr>
          <w:u w:val="single"/>
        </w:rPr>
        <w:t xml:space="preserve">SUBCHAPTER I-2. REPORTS BY MANUFACTURERS OF CERTAIN OFF-HIGHWAY VEHICLES PURCHASED OUTSIDE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"Manufacturer" means a person that manufactures off-highway vehicles and is required to hold a manufacturer's license under Chapter 2301,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off-highway vehicle" means an off-highway vehicle that has not been the subject of a retail sale.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"Off-highway vehicle" has the meaning assigned by Section 501.0301,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151.482.</w:t>
      </w:r>
      <w:r>
        <w:rPr>
          <w:u w:val="single"/>
        </w:rPr>
        <w:t xml:space="preserve"> </w:t>
      </w:r>
      <w:r>
        <w:rPr>
          <w:u w:val="single"/>
        </w:rPr>
        <w:t xml:space="preserve"> </w:t>
      </w:r>
      <w:r>
        <w:rPr>
          <w:u w:val="single"/>
        </w:rPr>
        <w:t xml:space="preserve">REPORTS BY MANUFACTURERS. </w:t>
      </w:r>
      <w:r>
        <w:rPr>
          <w:u w:val="single"/>
        </w:rPr>
        <w:t xml:space="preserve"> </w:t>
      </w:r>
      <w:r>
        <w:rPr>
          <w:u w:val="single"/>
        </w:rPr>
        <w:t xml:space="preserve">(a) </w:t>
      </w:r>
      <w:r>
        <w:rPr>
          <w:u w:val="single"/>
        </w:rPr>
        <w:t xml:space="preserve"> </w:t>
      </w:r>
      <w:r>
        <w:rPr>
          <w:u w:val="single"/>
        </w:rPr>
        <w:t xml:space="preserve">The comptroller shall require each manufacturer to file with the comptroller a report not later than March 1 of each year listing each warranty issued by the manufacturer for a new off-highway vehicle that was, during the preceding calendar year, sold to a resident of this state by a retailer located outside this state.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a form prescribed by the comptroller;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at a minimum, the following information for each warranty: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vehicle identification number of the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make, model, and model year of the vehicle;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address, including street name and number, city, and zip code, of the purchaser of the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receiving a report submitted under this section, the comptroller shall use the information in the report to investigate and collect any unpaid use taxes imposed under Subchapter D on an off-highway vehicle described in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151.483.</w:t>
      </w:r>
      <w:r>
        <w:rPr>
          <w:u w:val="single"/>
        </w:rPr>
        <w:t xml:space="preserve"> </w:t>
      </w:r>
      <w:r>
        <w:rPr>
          <w:u w:val="single"/>
        </w:rPr>
        <w:t xml:space="preserve"> </w:t>
      </w:r>
      <w:r>
        <w:rPr>
          <w:u w:val="single"/>
        </w:rPr>
        <w:t xml:space="preserve">RULES.  The comptroller may adopt rules as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151.484.</w:t>
      </w:r>
      <w:r>
        <w:rPr>
          <w:u w:val="single"/>
        </w:rPr>
        <w:t xml:space="preserve"> </w:t>
      </w:r>
      <w:r>
        <w:rPr>
          <w:u w:val="single"/>
        </w:rPr>
        <w:t xml:space="preserve"> </w:t>
      </w:r>
      <w:r>
        <w:rPr>
          <w:u w:val="single"/>
        </w:rPr>
        <w:t xml:space="preserve">CONFIDENTIALITY.  Except as provided by Section 111.006, information contained in a report required to be filed by this subchapter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151.485.</w:t>
      </w:r>
      <w:r>
        <w:rPr>
          <w:u w:val="single"/>
        </w:rPr>
        <w:t xml:space="preserve"> </w:t>
      </w:r>
      <w:r>
        <w:rPr>
          <w:u w:val="single"/>
        </w:rPr>
        <w:t xml:space="preserve"> </w:t>
      </w:r>
      <w:r>
        <w:rPr>
          <w:u w:val="single"/>
        </w:rPr>
        <w:t xml:space="preserve">CIVIL PENALTY.  (a)  If a manufacturer fails to file a report required by this subchapter or fails to file a complete report, the comptroller may impose a civil penalty under Section 151.703(d).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penalty imposed under Subsection (a), a manufacturer shall pay the state a civil penalty of not less than $25 or more than $2,000 for each day a violation continues if the manufacturer: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violates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violates a rule adopted to administer or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151.486.</w:t>
      </w:r>
      <w:r>
        <w:rPr>
          <w:u w:val="single"/>
        </w:rPr>
        <w:t xml:space="preserve"> </w:t>
      </w:r>
      <w:r>
        <w:rPr>
          <w:u w:val="single"/>
        </w:rPr>
        <w:t xml:space="preserve"> </w:t>
      </w:r>
      <w:r>
        <w:rPr>
          <w:u w:val="single"/>
        </w:rPr>
        <w:t xml:space="preserve">ACTION BY TEXAS DEPARTMENT OF MOTOR VEHICLES.  If a manufacturer fails to file a report required by this subchapter or fails to file a complete report, the comptroller may notify the Texas Department of Motor Vehicles of the failure and the department may take administrative action against the manufacturer for the failure under Chapter 2301,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151.487.</w:t>
      </w:r>
      <w:r>
        <w:rPr>
          <w:u w:val="single"/>
        </w:rPr>
        <w:t xml:space="preserve"> </w:t>
      </w:r>
      <w:r>
        <w:rPr>
          <w:u w:val="single"/>
        </w:rPr>
        <w:t xml:space="preserve"> </w:t>
      </w:r>
      <w:r>
        <w:rPr>
          <w:u w:val="single"/>
        </w:rPr>
        <w:t xml:space="preserve">AUDIT; INSPECTION.  The comptroller may audit, inspect, or otherwise verify a manufacturer's compliance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151.488.</w:t>
      </w:r>
      <w:r>
        <w:rPr>
          <w:u w:val="single"/>
        </w:rPr>
        <w:t xml:space="preserve"> </w:t>
      </w:r>
      <w:r>
        <w:rPr>
          <w:u w:val="single"/>
        </w:rPr>
        <w:t xml:space="preserve"> </w:t>
      </w:r>
      <w:r>
        <w:rPr>
          <w:u w:val="single"/>
        </w:rPr>
        <w:t xml:space="preserve">ACTION BY ATTORNEY GENERAL; VENUE; ATTORNEY'S FEES.  (a)  The comptroller may bring an action to enforce this subchapter and obtain any civil remedy authorized by this subchapter or any other law for the violation of this subchapter. The attorney general shall prosecute the action on the comptroller's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and jurisdiction of an action under this section is exclusively conferred on the district courts in Travis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comptroller prevails in an action under this section, the comptroller and attorney general are entitled to recover court costs and reasonable attorney's fees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501, Transportation Code, is amended by adding Section 501.0301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501.0301.</w:t>
      </w:r>
      <w:r>
        <w:rPr>
          <w:u w:val="single"/>
        </w:rPr>
        <w:t xml:space="preserve"> </w:t>
      </w:r>
      <w:r>
        <w:rPr>
          <w:u w:val="single"/>
        </w:rPr>
        <w:t xml:space="preserve"> </w:t>
      </w:r>
      <w:r>
        <w:rPr>
          <w:u w:val="single"/>
        </w:rPr>
        <w:t xml:space="preserve">CERTAIN OFF-HIGHWAY VEHICLES PURCHASED OUTSIDE THIS STATE.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"Off-highway vehicle"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all-terrain vehicle or recreational off-highway vehicle, as those terms are defined by Section 502.001;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motorcycle, as that term is defined by Section 541.201, other than a motorcycle described by Section 521.001, that is designed by the manufacturer for off-highway use only;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utility vehicle, as that term is defined by Section 663.001.</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"Retailer" has the meaning assigned by Section 151.008,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assessor-collector may not issue a title receipt and the department may not issue a certificate of title for an off-highway vehicle purchased from a retailer located outside this state and designated by the manufacturer as a model year that is not more than one year before the year in which the application for title is made unless the applicant for the title delivers to the assessor-collector or the department, as applicable, satisfactory evidence showing that the applicant: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paid to the comptroller the applicable use tax imposed on the vehicle under Subchapter D, Chapter 151,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pay any taxes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promulgate forms to be used by each county assessor-collector for purposes of implementing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adopt rules as necessary to implement this section, including rules that define "satisfactory evidence" 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March 1, 2020, a manufacturer shall submit the first report required by Subchapter I-2, Chapter 151, Tax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501.0301, Transportation Code, as added by this Act, applies only to an application for title that is filed on or after March 1, 2020.  An application for title that is filed before March 1, 2020,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As soon as practicable after the effective date of this Act, the comptroller of public accounts shall establish a work group composed of members determined by the comptroller and the Tax Assessor-Collectors Association of Texas for the purpose of assisting the comptroller in developing the forms required by Section 501.0301(c), Transportation Code,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2020, the forms described by Subsection (a) of this section shall be completed and distributed to each county assessor-collector in this state.</w:t>
      </w:r>
    </w:p>
    <w:p w:rsidR="003F3435" w:rsidRDefault="0032493E">
      <w:pPr>
        <w:spacing w:line="480" w:lineRule="auto"/>
        <w:ind w:firstLine="720"/>
        <w:jc w:val="both"/>
      </w:pPr>
      <w:r>
        <w:t xml:space="preserve">(c)</w:t>
      </w:r>
      <w:r xml:space="preserve">
        <w:t> </w:t>
      </w:r>
      <w:r xml:space="preserve">
        <w:t> </w:t>
      </w:r>
      <w:r>
        <w:t xml:space="preserve">This section expires and the work group established under Subsection (a) of this section is abolished April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