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w:t>
      </w:r>
      <w:r xml:space="preserve">
        <w:t> </w:t>
      </w:r>
      <w:r xml:space="preserve">
        <w:t> </w:t>
      </w:r>
      <w:r>
        <w:t xml:space="preserve">Unless continued in existence as provided by that chapter, the commission is abolished and Subchapter A, Chapter 5,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5.022, Alcoholic Beverage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commission's</w:t>
      </w:r>
      <w:r>
        <w:t xml:space="preserve">] programs, functions, rules, and budget </w:t>
      </w:r>
      <w:r>
        <w:rPr>
          <w:u w:val="single"/>
        </w:rPr>
        <w:t xml:space="preserve">of the commission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refuse to issue an original or renewal permit with or without a hearing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his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his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his reputation for being a peaceable, law-abiding citizen in the community where he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his business warrants the refusal of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his application, unless he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his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his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beer, or to assist in doing so, in an establishment where beer is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beer for the purpose of resale from a person other than the holder of a manufacturer's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beer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beer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manufacturer's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 local,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beer he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his licensed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beer outside the county or counties in which he was authorized to sell beer by his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beer while his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his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his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beer sold by him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beer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beer in an original package bearing a brand or trade name of a manufacturer other than the brand or trade name of the manufacturer shown on the container.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5.61, Alcoholic Beverage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Section 5.022, Alcoholic Beverage Code, as amended by this Act, applies to a member of the Texas Alcoholic Beverage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Alcoholic Beverage Commission who, before the effective date of this Act, completed the training program required by Section 5.022, Alcoholic Beverage Code, as that law existed before the effective date of this Act, is required to complete additional training only on subjects added by this Act to the training program as required by Section 5.022, Alcoholic Beverage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