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86R8402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1549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seller's disclosures regarding the proximity of certain residential real property to certain landfills and related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before="240"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__ Located in 100-Year</w:t>
            </w:r>
          </w:p>
        </w:tc>
        <w:tc>
          <w:p/>
        </w:tc>
        <w:tc>
          <w:p>
            <w:r>
              <w:t xml:space="preserve">__ Previous Fires</w:t>
            </w:r>
          </w:p>
        </w:tc>
      </w:tr>
      <w:tr>
        <w:tc>
          <w:p>
            <w:r xml:space="preserve">
              <w:t> </w:t>
            </w:r>
            <w:r xml:space="preserve">
              <w:t> </w:t>
            </w:r>
            <w:r>
              <w:t xml:space="preserve"> Floodplain</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r>
        <w:tc>
          <w:p>
            <w:r>
              <w:rPr>
                <w:u w:val="single"/>
              </w:rPr>
              <w:t xml:space="preserve">__</w:t>
            </w:r>
            <w:r>
              <w:t xml:space="preserve"> </w:t>
            </w:r>
          </w:p>
        </w:tc>
        <w:tc>
          <w:p>
            <w:r>
              <w:rPr>
                <w:u w:val="single"/>
              </w:rPr>
              <w:t xml:space="preserve">Any portion of the property that is located within one mile of the boundary of a municipal solid waste facility that requires a permit or registration issued by the Texas Commission on Environmental Quality.</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 </w:t>
      </w:r>
      <w:r>
        <w:t xml:space="preserve">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the purposes of this section, a transfer of property occurs before the effective date of this Act if the contract binding the purchaser to purchase the property is executed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