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86R3449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1554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language of personal automobile or residential property insurance policy documents and related materials.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2301, Insurance Code, is amended by adding Section 2301.058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2301.058.</w:t>
      </w:r>
      <w:r>
        <w:rPr>
          <w:u w:val="single"/>
        </w:rPr>
        <w:t xml:space="preserve"> </w:t>
      </w:r>
      <w:r>
        <w:rPr>
          <w:u w:val="single"/>
        </w:rPr>
        <w:t xml:space="preserve"> </w:t>
      </w:r>
      <w:r>
        <w:rPr>
          <w:u w:val="single"/>
        </w:rPr>
        <w:t xml:space="preserve">PROVISION OF POLICY DOCUMENTS AND RELATED MATERIALS IN LANGUAGE OTHER THAN ENGLISH.  (a)  An insurer may provide a customer a version of a personal automobile or residential property insurance policy or endorsement, or related explanatory or advertising material, in a language other than English.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case of a dispute or complaint, the English version of the insurance policy documents controls.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