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86R3389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1560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tax on title insurance policies written by title insurance companies to fund housing programs and services; imposing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3, Insurance Code, is amended by adding Chapter 282 to read as follows:</w:t>
      </w:r>
    </w:p>
    <w:p w:rsidR="003F3435" w:rsidRDefault="0032493E">
      <w:pPr>
        <w:spacing w:line="480" w:lineRule="auto"/>
        <w:jc w:val="center"/>
      </w:pPr>
      <w:r>
        <w:rPr>
          <w:u w:val="single"/>
        </w:rPr>
        <w:t xml:space="preserve">CHAPTER 282. </w:t>
      </w:r>
      <w:r>
        <w:rPr>
          <w:u w:val="single"/>
        </w:rPr>
        <w:t xml:space="preserve"> </w:t>
      </w:r>
      <w:r>
        <w:rPr>
          <w:u w:val="single"/>
        </w:rPr>
        <w:t xml:space="preserve">TITLE INSURANCE TAX FOR HOUSING PROGRAMS AND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282.0001.</w:t>
      </w:r>
      <w:r>
        <w:rPr>
          <w:u w:val="single"/>
        </w:rPr>
        <w:t xml:space="preserve"> </w:t>
      </w:r>
      <w:r>
        <w:rPr>
          <w:u w:val="single"/>
        </w:rPr>
        <w:t xml:space="preserve"> </w:t>
      </w:r>
      <w:r>
        <w:rPr>
          <w:u w:val="single"/>
        </w:rPr>
        <w:t xml:space="preserve">TAX IMPOSED; RATE.  (a) </w:t>
      </w:r>
      <w:r>
        <w:rPr>
          <w:u w:val="single"/>
        </w:rPr>
        <w:t xml:space="preserve"> </w:t>
      </w:r>
      <w:r>
        <w:rPr>
          <w:u w:val="single"/>
        </w:rPr>
        <w:t xml:space="preserve">A tax is imposed on the issuance of each title insurance policy that is written for delivery in this state by a title insurance company authorized to engage in business in this state and for which the full basic premium is charged.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rate of the tax is $1 on each policy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tax imposed by this section is in addition to other taxes, fees, and assessments imposed on a title insurance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282.0002.</w:t>
      </w:r>
      <w:r>
        <w:rPr>
          <w:u w:val="single"/>
        </w:rPr>
        <w:t xml:space="preserve"> </w:t>
      </w:r>
      <w:r>
        <w:rPr>
          <w:u w:val="single"/>
        </w:rPr>
        <w:t xml:space="preserve"> </w:t>
      </w:r>
      <w:r>
        <w:rPr>
          <w:u w:val="single"/>
        </w:rPr>
        <w:t xml:space="preserve">COLLECTION OF TAX.  The comptroller shall collect the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282.0003.</w:t>
      </w:r>
      <w:r>
        <w:rPr>
          <w:u w:val="single"/>
        </w:rPr>
        <w:t xml:space="preserve"> </w:t>
      </w:r>
      <w:r>
        <w:rPr>
          <w:u w:val="single"/>
        </w:rPr>
        <w:t xml:space="preserve"> </w:t>
      </w:r>
      <w:r>
        <w:rPr>
          <w:u w:val="single"/>
        </w:rPr>
        <w:t xml:space="preserve">TAX DUE DATES.  (a)  A title insurance company shall pay the tax on an annual, semiannual, or more frequent periodic basis, as determined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require semiannual or more frequent periodic payments only from a title insurance company whose tax liability under this chapter for the preceding year was at least $2,000.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282.0004.</w:t>
      </w:r>
      <w:r>
        <w:rPr>
          <w:u w:val="single"/>
        </w:rPr>
        <w:t xml:space="preserve"> </w:t>
      </w:r>
      <w:r>
        <w:rPr>
          <w:u w:val="single"/>
        </w:rPr>
        <w:t xml:space="preserve"> </w:t>
      </w:r>
      <w:r>
        <w:rPr>
          <w:u w:val="single"/>
        </w:rPr>
        <w:t xml:space="preserve">DEPOSIT AND USE OF TAX REVENUE.  (a) </w:t>
      </w:r>
      <w:r>
        <w:rPr>
          <w:u w:val="single"/>
        </w:rPr>
        <w:t xml:space="preserve"> </w:t>
      </w:r>
      <w:r>
        <w:rPr>
          <w:u w:val="single"/>
        </w:rPr>
        <w:t xml:space="preserve">The comptroller shall deposit taxes collected under this chapter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one-fourth to the credit of the foundation school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remainder to the credit of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under Subsection (a)(2) may be appropriated only for programs and services designed to reduce homelessness and housing insecurity.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282.0005.</w:t>
      </w:r>
      <w:r>
        <w:rPr>
          <w:u w:val="single"/>
        </w:rPr>
        <w:t xml:space="preserve"> </w:t>
      </w:r>
      <w:r>
        <w:rPr>
          <w:u w:val="single"/>
        </w:rPr>
        <w:t xml:space="preserve"> </w:t>
      </w:r>
      <w:r>
        <w:rPr>
          <w:u w:val="single"/>
        </w:rPr>
        <w:t xml:space="preserve">RULES.  The comptroller may adopt reasonable rules to implement this chapter, including rules providing for the form and manner of remittance of the taxes imposed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2019, the comptroller of public accounts shall adopt rules necessary for the implementation and administration of Chapter 282, Insurance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282, Insurance Code, as added by this Act, applies to a title insurance policy written on or after January 1, 2020.  A title insurance policy written before January 1, 2020, is governed by the law in effect when the title insurance policy was written,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