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86R6975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1575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sexual harassment prevention training and information for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21, Labor Code, is amended by adding Section 21.013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21.013.</w:t>
      </w:r>
      <w:r>
        <w:rPr>
          <w:u w:val="single"/>
        </w:rPr>
        <w:t xml:space="preserve"> </w:t>
      </w:r>
      <w:r>
        <w:rPr>
          <w:u w:val="single"/>
        </w:rPr>
        <w:t xml:space="preserve"> </w:t>
      </w:r>
      <w:r>
        <w:rPr>
          <w:u w:val="single"/>
        </w:rPr>
        <w:t xml:space="preserve">SEXUAL HARASSMENT PREVENTION TRAINING AND INFORMATION.  (a) </w:t>
      </w:r>
      <w:r>
        <w:rPr>
          <w:u w:val="single"/>
        </w:rPr>
        <w:t xml:space="preserve"> </w:t>
      </w:r>
      <w:r>
        <w:rPr>
          <w:u w:val="single"/>
        </w:rPr>
        <w:t xml:space="preserve">In this section, the term "supervisor"</w:t>
      </w:r>
      <w:r>
        <w:rPr>
          <w:u w:val="single"/>
        </w:rPr>
        <w:t xml:space="preserve"> </w:t>
      </w:r>
      <w:r>
        <w:rPr>
          <w:u w:val="single"/>
        </w:rPr>
        <w:t xml:space="preserve">includes a person with the authority to direct an employee's daily activities while at work, regardless of whether the person has the authority to hire, fire, or take other tangible employment action with respect to the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once every two years, an employer other than a state agency shall provide to each employee of the employer at least: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hours of sexual harassment prevention training, if the employee is a supervisor;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of sexual harassment prevention training, if the employee is not a supervisor.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develop or obtain, and make available on its Internet website, one-hour and two-hour sexual harassment prevention training videos that may be used by employers to provide the training required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and make available on its Internet website for use by employers informational posters and fact sheets displaying information regarding the prevention of sexual harassment.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adopt rules as necessary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Workforce Commission shall post on its Internet website the videos, posters, and fact sheets required by Section 21.013, Labor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